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CE7ED" w14:textId="2DA1EFEA" w:rsidR="00317782" w:rsidRPr="00C157EA" w:rsidRDefault="00317782">
      <w:pPr>
        <w:rPr>
          <w:rFonts w:ascii="Adobe Garamond Pro" w:hAnsi="Adobe Garamond Pro"/>
          <w:sz w:val="20"/>
          <w:szCs w:val="20"/>
        </w:rPr>
      </w:pPr>
      <w:r w:rsidRPr="00C157EA">
        <w:rPr>
          <w:rFonts w:ascii="Adobe Garamond Pro" w:hAnsi="Adobe Garamond Pro"/>
          <w:sz w:val="20"/>
          <w:szCs w:val="20"/>
        </w:rPr>
        <w:t>Kitty Millet, Professor of Comparative Jewish Literatures, SF State University</w:t>
      </w:r>
    </w:p>
    <w:p w14:paraId="387DB8FA" w14:textId="7B8F5B52" w:rsidR="00317782" w:rsidRPr="00C157EA" w:rsidRDefault="00317782">
      <w:pPr>
        <w:rPr>
          <w:rFonts w:ascii="Adobe Garamond Pro" w:hAnsi="Adobe Garamond Pro"/>
          <w:sz w:val="20"/>
          <w:szCs w:val="20"/>
        </w:rPr>
      </w:pPr>
      <w:r w:rsidRPr="00C157EA">
        <w:rPr>
          <w:rFonts w:ascii="Adobe Garamond Pro" w:hAnsi="Adobe Garamond Pro"/>
          <w:sz w:val="20"/>
          <w:szCs w:val="20"/>
        </w:rPr>
        <w:t>(kmillet1@sfsu.edu)</w:t>
      </w:r>
    </w:p>
    <w:p w14:paraId="2F61E3F6" w14:textId="0BD15595" w:rsidR="00136301" w:rsidRPr="00C157EA" w:rsidRDefault="00A60C4E">
      <w:pPr>
        <w:rPr>
          <w:rFonts w:ascii="Adobe Garamond Pro" w:hAnsi="Adobe Garamond Pro"/>
          <w:sz w:val="20"/>
          <w:szCs w:val="20"/>
        </w:rPr>
      </w:pPr>
      <w:r w:rsidRPr="00C157EA">
        <w:rPr>
          <w:rFonts w:ascii="Adobe Garamond Pro" w:hAnsi="Adobe Garamond Pro"/>
          <w:sz w:val="20"/>
          <w:szCs w:val="20"/>
        </w:rPr>
        <w:t xml:space="preserve">“‘Perhaps Redeemed’: </w:t>
      </w:r>
      <w:proofErr w:type="gramStart"/>
      <w:r w:rsidRPr="00C157EA">
        <w:rPr>
          <w:rFonts w:ascii="Adobe Garamond Pro" w:hAnsi="Adobe Garamond Pro"/>
          <w:sz w:val="20"/>
          <w:szCs w:val="20"/>
        </w:rPr>
        <w:t>the</w:t>
      </w:r>
      <w:proofErr w:type="gramEnd"/>
      <w:r w:rsidRPr="00C157EA">
        <w:rPr>
          <w:rFonts w:ascii="Adobe Garamond Pro" w:hAnsi="Adobe Garamond Pro"/>
          <w:sz w:val="20"/>
          <w:szCs w:val="20"/>
        </w:rPr>
        <w:t xml:space="preserve"> Premise and Necessity of the Absolute Aleph</w:t>
      </w:r>
      <w:r w:rsidRPr="00C157EA">
        <w:rPr>
          <w:rFonts w:ascii="Adobe Garamond Pro" w:hAnsi="Adobe Garamond Pro"/>
          <w:sz w:val="20"/>
          <w:szCs w:val="20"/>
        </w:rPr>
        <w:t>”</w:t>
      </w:r>
    </w:p>
    <w:p w14:paraId="4FD66246" w14:textId="6E84F4CA" w:rsidR="00A60C4E" w:rsidRPr="00C157EA" w:rsidRDefault="00A60C4E">
      <w:pPr>
        <w:rPr>
          <w:rFonts w:ascii="Adobe Garamond Pro" w:hAnsi="Adobe Garamond Pro"/>
          <w:sz w:val="20"/>
          <w:szCs w:val="20"/>
        </w:rPr>
      </w:pPr>
    </w:p>
    <w:p w14:paraId="46D64227" w14:textId="2123B854" w:rsidR="001B42AC" w:rsidRPr="00C157EA" w:rsidRDefault="00A60C4E" w:rsidP="00E6709B">
      <w:pPr>
        <w:ind w:firstLine="720"/>
        <w:rPr>
          <w:rFonts w:ascii="Adobe Garamond Pro" w:hAnsi="Adobe Garamond Pro"/>
          <w:sz w:val="20"/>
          <w:szCs w:val="20"/>
        </w:rPr>
      </w:pPr>
      <w:r w:rsidRPr="00C157EA">
        <w:rPr>
          <w:rFonts w:ascii="Adobe Garamond Pro" w:hAnsi="Adobe Garamond Pro"/>
          <w:sz w:val="20"/>
          <w:szCs w:val="20"/>
        </w:rPr>
        <w:t xml:space="preserve">In </w:t>
      </w:r>
      <w:r w:rsidRPr="00C157EA">
        <w:rPr>
          <w:rFonts w:ascii="Adobe Garamond Pro" w:hAnsi="Adobe Garamond Pro"/>
          <w:i/>
          <w:sz w:val="20"/>
          <w:szCs w:val="20"/>
        </w:rPr>
        <w:t>Major Trends of Jewish Mysticism</w:t>
      </w:r>
      <w:r w:rsidRPr="00C157EA">
        <w:rPr>
          <w:rFonts w:ascii="Adobe Garamond Pro" w:hAnsi="Adobe Garamond Pro"/>
          <w:sz w:val="20"/>
          <w:szCs w:val="20"/>
        </w:rPr>
        <w:t xml:space="preserve">, Gershom </w:t>
      </w:r>
      <w:proofErr w:type="spellStart"/>
      <w:r w:rsidRPr="00C157EA">
        <w:rPr>
          <w:rFonts w:ascii="Adobe Garamond Pro" w:hAnsi="Adobe Garamond Pro"/>
          <w:sz w:val="20"/>
          <w:szCs w:val="20"/>
        </w:rPr>
        <w:t>Scholem</w:t>
      </w:r>
      <w:proofErr w:type="spellEnd"/>
      <w:r w:rsidRPr="00C157EA">
        <w:rPr>
          <w:rFonts w:ascii="Adobe Garamond Pro" w:hAnsi="Adobe Garamond Pro"/>
          <w:sz w:val="20"/>
          <w:szCs w:val="20"/>
        </w:rPr>
        <w:t xml:space="preserve"> introduce</w:t>
      </w:r>
      <w:r w:rsidR="001B42AC" w:rsidRPr="00C157EA">
        <w:rPr>
          <w:rFonts w:ascii="Adobe Garamond Pro" w:hAnsi="Adobe Garamond Pro"/>
          <w:sz w:val="20"/>
          <w:szCs w:val="20"/>
        </w:rPr>
        <w:t>s</w:t>
      </w:r>
      <w:r w:rsidRPr="00C157EA">
        <w:rPr>
          <w:rFonts w:ascii="Adobe Garamond Pro" w:hAnsi="Adobe Garamond Pro"/>
          <w:sz w:val="20"/>
          <w:szCs w:val="20"/>
        </w:rPr>
        <w:t xml:space="preserve"> readers to a </w:t>
      </w:r>
      <w:proofErr w:type="gramStart"/>
      <w:r w:rsidRPr="00C157EA">
        <w:rPr>
          <w:rFonts w:ascii="Adobe Garamond Pro" w:hAnsi="Adobe Garamond Pro"/>
          <w:sz w:val="20"/>
          <w:szCs w:val="20"/>
        </w:rPr>
        <w:t>little known</w:t>
      </w:r>
      <w:proofErr w:type="gramEnd"/>
      <w:r w:rsidRPr="00C157EA">
        <w:rPr>
          <w:rFonts w:ascii="Adobe Garamond Pro" w:hAnsi="Adobe Garamond Pro"/>
          <w:sz w:val="20"/>
          <w:szCs w:val="20"/>
        </w:rPr>
        <w:t xml:space="preserve"> tradition of kabbalah that had at th</w:t>
      </w:r>
      <w:r w:rsidR="001B42AC" w:rsidRPr="00C157EA">
        <w:rPr>
          <w:rFonts w:ascii="Adobe Garamond Pro" w:hAnsi="Adobe Garamond Pro"/>
          <w:sz w:val="20"/>
          <w:szCs w:val="20"/>
        </w:rPr>
        <w:t>e</w:t>
      </w:r>
      <w:r w:rsidRPr="00C157EA">
        <w:rPr>
          <w:rFonts w:ascii="Adobe Garamond Pro" w:hAnsi="Adobe Garamond Pro"/>
          <w:sz w:val="20"/>
          <w:szCs w:val="20"/>
        </w:rPr>
        <w:t xml:space="preserve"> time</w:t>
      </w:r>
      <w:r w:rsidR="001B42AC" w:rsidRPr="00C157EA">
        <w:rPr>
          <w:rFonts w:ascii="Adobe Garamond Pro" w:hAnsi="Adobe Garamond Pro"/>
          <w:sz w:val="20"/>
          <w:szCs w:val="20"/>
        </w:rPr>
        <w:t xml:space="preserve"> of </w:t>
      </w:r>
      <w:proofErr w:type="spellStart"/>
      <w:r w:rsidR="001B42AC" w:rsidRPr="00C157EA">
        <w:rPr>
          <w:rFonts w:ascii="Adobe Garamond Pro" w:hAnsi="Adobe Garamond Pro"/>
          <w:sz w:val="20"/>
          <w:szCs w:val="20"/>
        </w:rPr>
        <w:t>Scholem’s</w:t>
      </w:r>
      <w:proofErr w:type="spellEnd"/>
      <w:r w:rsidR="001B42AC" w:rsidRPr="00C157EA">
        <w:rPr>
          <w:rFonts w:ascii="Adobe Garamond Pro" w:hAnsi="Adobe Garamond Pro"/>
          <w:sz w:val="20"/>
          <w:szCs w:val="20"/>
        </w:rPr>
        <w:t xml:space="preserve"> publication,</w:t>
      </w:r>
      <w:r w:rsidRPr="00C157EA">
        <w:rPr>
          <w:rFonts w:ascii="Adobe Garamond Pro" w:hAnsi="Adobe Garamond Pro"/>
          <w:sz w:val="20"/>
          <w:szCs w:val="20"/>
        </w:rPr>
        <w:t xml:space="preserve"> </w:t>
      </w:r>
      <w:r w:rsidR="00775032" w:rsidRPr="00C157EA">
        <w:rPr>
          <w:rFonts w:ascii="Adobe Garamond Pro" w:hAnsi="Adobe Garamond Pro"/>
          <w:sz w:val="20"/>
          <w:szCs w:val="20"/>
        </w:rPr>
        <w:t>little</w:t>
      </w:r>
      <w:r w:rsidRPr="00C157EA">
        <w:rPr>
          <w:rFonts w:ascii="Adobe Garamond Pro" w:hAnsi="Adobe Garamond Pro"/>
          <w:sz w:val="20"/>
          <w:szCs w:val="20"/>
        </w:rPr>
        <w:t xml:space="preserve"> purchase </w:t>
      </w:r>
      <w:r w:rsidR="00775032" w:rsidRPr="00C157EA">
        <w:rPr>
          <w:rFonts w:ascii="Adobe Garamond Pro" w:hAnsi="Adobe Garamond Pro"/>
          <w:sz w:val="20"/>
          <w:szCs w:val="20"/>
        </w:rPr>
        <w:t xml:space="preserve">if any </w:t>
      </w:r>
      <w:r w:rsidRPr="00C157EA">
        <w:rPr>
          <w:rFonts w:ascii="Adobe Garamond Pro" w:hAnsi="Adobe Garamond Pro"/>
          <w:sz w:val="20"/>
          <w:szCs w:val="20"/>
        </w:rPr>
        <w:t xml:space="preserve">in popular </w:t>
      </w:r>
      <w:r w:rsidR="00775032" w:rsidRPr="00C157EA">
        <w:rPr>
          <w:rFonts w:ascii="Adobe Garamond Pro" w:hAnsi="Adobe Garamond Pro"/>
          <w:sz w:val="20"/>
          <w:szCs w:val="20"/>
        </w:rPr>
        <w:t xml:space="preserve">and scholarly </w:t>
      </w:r>
      <w:r w:rsidRPr="00C157EA">
        <w:rPr>
          <w:rFonts w:ascii="Adobe Garamond Pro" w:hAnsi="Adobe Garamond Pro"/>
          <w:sz w:val="20"/>
          <w:szCs w:val="20"/>
        </w:rPr>
        <w:t>knowledge</w:t>
      </w:r>
      <w:r w:rsidR="001B42AC" w:rsidRPr="00C157EA">
        <w:rPr>
          <w:rFonts w:ascii="Adobe Garamond Pro" w:hAnsi="Adobe Garamond Pro"/>
          <w:sz w:val="20"/>
          <w:szCs w:val="20"/>
        </w:rPr>
        <w:t>, about Jewish literature</w:t>
      </w:r>
      <w:r w:rsidR="0018505D" w:rsidRPr="00C157EA">
        <w:rPr>
          <w:rFonts w:ascii="Adobe Garamond Pro" w:hAnsi="Adobe Garamond Pro"/>
          <w:sz w:val="20"/>
          <w:szCs w:val="20"/>
        </w:rPr>
        <w:t xml:space="preserve"> and religion</w:t>
      </w:r>
      <w:r w:rsidRPr="00C157EA">
        <w:rPr>
          <w:rFonts w:ascii="Adobe Garamond Pro" w:hAnsi="Adobe Garamond Pro"/>
          <w:sz w:val="20"/>
          <w:szCs w:val="20"/>
        </w:rPr>
        <w:t xml:space="preserve">. </w:t>
      </w:r>
      <w:r w:rsidR="00775032" w:rsidRPr="00C157EA">
        <w:rPr>
          <w:rFonts w:ascii="Adobe Garamond Pro" w:hAnsi="Adobe Garamond Pro"/>
          <w:sz w:val="20"/>
          <w:szCs w:val="20"/>
        </w:rPr>
        <w:t xml:space="preserve">Even among observant Jews, it was the province of a small sect and not available to congregations globally. </w:t>
      </w:r>
      <w:r w:rsidR="001B42AC" w:rsidRPr="00C157EA">
        <w:rPr>
          <w:rFonts w:ascii="Adobe Garamond Pro" w:hAnsi="Adobe Garamond Pro"/>
          <w:sz w:val="20"/>
          <w:szCs w:val="20"/>
        </w:rPr>
        <w:t xml:space="preserve">No one went to Hebrew school to learn about it. </w:t>
      </w:r>
    </w:p>
    <w:p w14:paraId="0A33B751" w14:textId="77777777" w:rsidR="00ED39EC" w:rsidRPr="00C157EA" w:rsidRDefault="00A60C4E" w:rsidP="001B42AC">
      <w:pPr>
        <w:ind w:firstLine="720"/>
        <w:rPr>
          <w:rFonts w:ascii="Adobe Garamond Pro" w:hAnsi="Adobe Garamond Pro"/>
          <w:sz w:val="20"/>
          <w:szCs w:val="20"/>
        </w:rPr>
      </w:pPr>
      <w:r w:rsidRPr="00C157EA">
        <w:rPr>
          <w:rFonts w:ascii="Adobe Garamond Pro" w:hAnsi="Adobe Garamond Pro"/>
          <w:sz w:val="20"/>
          <w:szCs w:val="20"/>
        </w:rPr>
        <w:t xml:space="preserve">The substance of that tradition revolved around the Hebrew letter of Aleph, that </w:t>
      </w:r>
      <w:proofErr w:type="spellStart"/>
      <w:r w:rsidRPr="00C157EA">
        <w:rPr>
          <w:rFonts w:ascii="Adobe Garamond Pro" w:hAnsi="Adobe Garamond Pro"/>
          <w:sz w:val="20"/>
          <w:szCs w:val="20"/>
        </w:rPr>
        <w:t>Scholem</w:t>
      </w:r>
      <w:proofErr w:type="spellEnd"/>
      <w:r w:rsidRPr="00C157EA">
        <w:rPr>
          <w:rFonts w:ascii="Adobe Garamond Pro" w:hAnsi="Adobe Garamond Pro"/>
          <w:sz w:val="20"/>
          <w:szCs w:val="20"/>
        </w:rPr>
        <w:t xml:space="preserve"> pointed out was considered an “absolute” </w:t>
      </w:r>
      <w:r w:rsidR="003B2AE0" w:rsidRPr="00C157EA">
        <w:rPr>
          <w:rFonts w:ascii="Adobe Garamond Pro" w:hAnsi="Adobe Garamond Pro"/>
          <w:sz w:val="20"/>
          <w:szCs w:val="20"/>
        </w:rPr>
        <w:t>entity: the mind</w:t>
      </w:r>
      <w:r w:rsidR="001B42AC" w:rsidRPr="00C157EA">
        <w:rPr>
          <w:rFonts w:ascii="Adobe Garamond Pro" w:hAnsi="Adobe Garamond Pro"/>
          <w:sz w:val="20"/>
          <w:szCs w:val="20"/>
        </w:rPr>
        <w:t xml:space="preserve"> focused on the Aleph, the faculties absolutely bound to the letter, would collapse and lose their basic quality of holding mental space together, constraining </w:t>
      </w:r>
      <w:r w:rsidR="0018505D" w:rsidRPr="00C157EA">
        <w:rPr>
          <w:rFonts w:ascii="Adobe Garamond Pro" w:hAnsi="Adobe Garamond Pro"/>
          <w:sz w:val="20"/>
          <w:szCs w:val="20"/>
        </w:rPr>
        <w:t>them</w:t>
      </w:r>
      <w:r w:rsidR="001B42AC" w:rsidRPr="00C157EA">
        <w:rPr>
          <w:rFonts w:ascii="Adobe Garamond Pro" w:hAnsi="Adobe Garamond Pro"/>
          <w:sz w:val="20"/>
          <w:szCs w:val="20"/>
        </w:rPr>
        <w:t xml:space="preserve">, </w:t>
      </w:r>
      <w:r w:rsidR="0018505D" w:rsidRPr="00C157EA">
        <w:rPr>
          <w:rFonts w:ascii="Adobe Garamond Pro" w:hAnsi="Adobe Garamond Pro"/>
          <w:sz w:val="20"/>
          <w:szCs w:val="20"/>
        </w:rPr>
        <w:t xml:space="preserve">to force the world within to conform to the world without. </w:t>
      </w:r>
      <w:r w:rsidR="00ED39EC" w:rsidRPr="00C157EA">
        <w:rPr>
          <w:rFonts w:ascii="Adobe Garamond Pro" w:hAnsi="Adobe Garamond Pro"/>
          <w:sz w:val="20"/>
          <w:szCs w:val="20"/>
        </w:rPr>
        <w:t xml:space="preserve">That mechanism had to be suppressed so that the Aleph could direct the mind to another space and time. </w:t>
      </w:r>
      <w:r w:rsidR="0018505D" w:rsidRPr="00C157EA">
        <w:rPr>
          <w:rFonts w:ascii="Adobe Garamond Pro" w:hAnsi="Adobe Garamond Pro"/>
          <w:sz w:val="20"/>
          <w:szCs w:val="20"/>
        </w:rPr>
        <w:t xml:space="preserve">In other words, </w:t>
      </w:r>
      <w:r w:rsidR="00ED39EC" w:rsidRPr="00C157EA">
        <w:rPr>
          <w:rFonts w:ascii="Adobe Garamond Pro" w:hAnsi="Adobe Garamond Pro"/>
          <w:sz w:val="20"/>
          <w:szCs w:val="20"/>
        </w:rPr>
        <w:t>human</w:t>
      </w:r>
      <w:r w:rsidR="0018505D" w:rsidRPr="00C157EA">
        <w:rPr>
          <w:rFonts w:ascii="Adobe Garamond Pro" w:hAnsi="Adobe Garamond Pro"/>
          <w:sz w:val="20"/>
          <w:szCs w:val="20"/>
        </w:rPr>
        <w:t xml:space="preserve"> perception of “reality” was considered </w:t>
      </w:r>
      <w:r w:rsidR="001E2313" w:rsidRPr="00C157EA">
        <w:rPr>
          <w:rFonts w:ascii="Adobe Garamond Pro" w:hAnsi="Adobe Garamond Pro"/>
          <w:sz w:val="20"/>
          <w:szCs w:val="20"/>
        </w:rPr>
        <w:t>a</w:t>
      </w:r>
      <w:r w:rsidR="0018505D" w:rsidRPr="00C157EA">
        <w:rPr>
          <w:rFonts w:ascii="Adobe Garamond Pro" w:hAnsi="Adobe Garamond Pro"/>
          <w:sz w:val="20"/>
          <w:szCs w:val="20"/>
        </w:rPr>
        <w:t xml:space="preserve"> safeguard of the faculties because it prevented the mind from slipping into divine time and </w:t>
      </w:r>
      <w:proofErr w:type="gramStart"/>
      <w:r w:rsidR="00ED39EC" w:rsidRPr="00C157EA">
        <w:rPr>
          <w:rFonts w:ascii="Adobe Garamond Pro" w:hAnsi="Adobe Garamond Pro"/>
          <w:sz w:val="20"/>
          <w:szCs w:val="20"/>
        </w:rPr>
        <w:t xml:space="preserve">coming to </w:t>
      </w:r>
      <w:r w:rsidR="0018505D" w:rsidRPr="00C157EA">
        <w:rPr>
          <w:rFonts w:ascii="Adobe Garamond Pro" w:hAnsi="Adobe Garamond Pro"/>
          <w:sz w:val="20"/>
          <w:szCs w:val="20"/>
        </w:rPr>
        <w:t>the conclusion</w:t>
      </w:r>
      <w:proofErr w:type="gramEnd"/>
      <w:r w:rsidR="0018505D" w:rsidRPr="00C157EA">
        <w:rPr>
          <w:rFonts w:ascii="Adobe Garamond Pro" w:hAnsi="Adobe Garamond Pro"/>
          <w:sz w:val="20"/>
          <w:szCs w:val="20"/>
        </w:rPr>
        <w:t xml:space="preserve"> that redemption was forever </w:t>
      </w:r>
      <w:r w:rsidR="001E2313" w:rsidRPr="00C157EA">
        <w:rPr>
          <w:rFonts w:ascii="Adobe Garamond Pro" w:hAnsi="Adobe Garamond Pro"/>
          <w:sz w:val="20"/>
          <w:szCs w:val="20"/>
        </w:rPr>
        <w:t xml:space="preserve">lost. </w:t>
      </w:r>
    </w:p>
    <w:p w14:paraId="7DAFCFA8" w14:textId="1A50B601" w:rsidR="00A60C4E" w:rsidRPr="00C157EA" w:rsidRDefault="001E2313" w:rsidP="001B42AC">
      <w:pPr>
        <w:ind w:firstLine="720"/>
        <w:rPr>
          <w:rFonts w:ascii="Adobe Garamond Pro" w:hAnsi="Adobe Garamond Pro"/>
          <w:sz w:val="20"/>
          <w:szCs w:val="20"/>
        </w:rPr>
      </w:pPr>
      <w:r w:rsidRPr="00C157EA">
        <w:rPr>
          <w:rFonts w:ascii="Adobe Garamond Pro" w:hAnsi="Adobe Garamond Pro"/>
          <w:sz w:val="20"/>
          <w:szCs w:val="20"/>
        </w:rPr>
        <w:t xml:space="preserve">However, this </w:t>
      </w:r>
      <w:proofErr w:type="gramStart"/>
      <w:r w:rsidRPr="00C157EA">
        <w:rPr>
          <w:rFonts w:ascii="Adobe Garamond Pro" w:hAnsi="Adobe Garamond Pro"/>
          <w:sz w:val="20"/>
          <w:szCs w:val="20"/>
        </w:rPr>
        <w:t>little known</w:t>
      </w:r>
      <w:proofErr w:type="gramEnd"/>
      <w:r w:rsidRPr="00C157EA">
        <w:rPr>
          <w:rFonts w:ascii="Adobe Garamond Pro" w:hAnsi="Adobe Garamond Pro"/>
          <w:sz w:val="20"/>
          <w:szCs w:val="20"/>
        </w:rPr>
        <w:t xml:space="preserve"> sect began to contemplate the possibility of recovering a lost time </w:t>
      </w:r>
      <w:r w:rsidR="00ED39EC" w:rsidRPr="00C157EA">
        <w:rPr>
          <w:rFonts w:ascii="Adobe Garamond Pro" w:hAnsi="Adobe Garamond Pro"/>
          <w:sz w:val="20"/>
          <w:szCs w:val="20"/>
        </w:rPr>
        <w:t>through</w:t>
      </w:r>
      <w:r w:rsidRPr="00C157EA">
        <w:rPr>
          <w:rFonts w:ascii="Adobe Garamond Pro" w:hAnsi="Adobe Garamond Pro"/>
          <w:sz w:val="20"/>
          <w:szCs w:val="20"/>
        </w:rPr>
        <w:t xml:space="preserve"> an intense meditation on the Aleph. That recovery promised then that in exchange for human transcendence, its forfeiture, one could reauthorize and attain a primordial redemption before the Fall. </w:t>
      </w:r>
      <w:r w:rsidR="00ED39EC" w:rsidRPr="00C157EA">
        <w:rPr>
          <w:rFonts w:ascii="Adobe Garamond Pro" w:hAnsi="Adobe Garamond Pro"/>
          <w:sz w:val="20"/>
          <w:szCs w:val="20"/>
        </w:rPr>
        <w:t>One could see time and space in a manner akin to the first Adam, but t</w:t>
      </w:r>
      <w:r w:rsidR="00E6709B" w:rsidRPr="00C157EA">
        <w:rPr>
          <w:rFonts w:ascii="Adobe Garamond Pro" w:hAnsi="Adobe Garamond Pro"/>
          <w:sz w:val="20"/>
          <w:szCs w:val="20"/>
        </w:rPr>
        <w:t>he path to h</w:t>
      </w:r>
      <w:r w:rsidRPr="00C157EA">
        <w:rPr>
          <w:rFonts w:ascii="Adobe Garamond Pro" w:hAnsi="Adobe Garamond Pro"/>
          <w:sz w:val="20"/>
          <w:szCs w:val="20"/>
        </w:rPr>
        <w:t xml:space="preserve">uman transcendence </w:t>
      </w:r>
      <w:r w:rsidR="00E6709B" w:rsidRPr="00C157EA">
        <w:rPr>
          <w:rFonts w:ascii="Adobe Garamond Pro" w:hAnsi="Adobe Garamond Pro"/>
          <w:sz w:val="20"/>
          <w:szCs w:val="20"/>
        </w:rPr>
        <w:t>had to be abandoned. Th</w:t>
      </w:r>
      <w:r w:rsidR="00ED39EC" w:rsidRPr="00C157EA">
        <w:rPr>
          <w:rFonts w:ascii="Adobe Garamond Pro" w:hAnsi="Adobe Garamond Pro"/>
          <w:sz w:val="20"/>
          <w:szCs w:val="20"/>
        </w:rPr>
        <w:t>e</w:t>
      </w:r>
      <w:r w:rsidR="00E6709B" w:rsidRPr="00C157EA">
        <w:rPr>
          <w:rFonts w:ascii="Adobe Garamond Pro" w:hAnsi="Adobe Garamond Pro"/>
          <w:sz w:val="20"/>
          <w:szCs w:val="20"/>
        </w:rPr>
        <w:t xml:space="preserve"> space and time </w:t>
      </w:r>
      <w:r w:rsidR="00ED39EC" w:rsidRPr="00C157EA">
        <w:rPr>
          <w:rFonts w:ascii="Adobe Garamond Pro" w:hAnsi="Adobe Garamond Pro"/>
          <w:sz w:val="20"/>
          <w:szCs w:val="20"/>
        </w:rPr>
        <w:t xml:space="preserve">of the first Adam </w:t>
      </w:r>
      <w:r w:rsidR="00E6709B" w:rsidRPr="00C157EA">
        <w:rPr>
          <w:rFonts w:ascii="Adobe Garamond Pro" w:hAnsi="Adobe Garamond Pro"/>
          <w:sz w:val="20"/>
          <w:szCs w:val="20"/>
        </w:rPr>
        <w:t xml:space="preserve">was not available in </w:t>
      </w:r>
      <w:r w:rsidR="00ED39EC" w:rsidRPr="00C157EA">
        <w:rPr>
          <w:rFonts w:ascii="Adobe Garamond Pro" w:hAnsi="Adobe Garamond Pro"/>
          <w:sz w:val="20"/>
          <w:szCs w:val="20"/>
        </w:rPr>
        <w:t xml:space="preserve">the </w:t>
      </w:r>
      <w:r w:rsidR="00E6709B" w:rsidRPr="00C157EA">
        <w:rPr>
          <w:rFonts w:ascii="Adobe Garamond Pro" w:hAnsi="Adobe Garamond Pro"/>
          <w:sz w:val="20"/>
          <w:szCs w:val="20"/>
        </w:rPr>
        <w:t xml:space="preserve">familiar </w:t>
      </w:r>
      <w:proofErr w:type="gramStart"/>
      <w:r w:rsidR="00E6709B" w:rsidRPr="00C157EA">
        <w:rPr>
          <w:rFonts w:ascii="Adobe Garamond Pro" w:hAnsi="Adobe Garamond Pro"/>
          <w:sz w:val="20"/>
          <w:szCs w:val="20"/>
        </w:rPr>
        <w:t>ways</w:t>
      </w:r>
      <w:proofErr w:type="gramEnd"/>
      <w:r w:rsidR="00ED39EC" w:rsidRPr="00C157EA">
        <w:rPr>
          <w:rFonts w:ascii="Adobe Garamond Pro" w:hAnsi="Adobe Garamond Pro"/>
          <w:sz w:val="20"/>
          <w:szCs w:val="20"/>
        </w:rPr>
        <w:t xml:space="preserve"> modes of human enlightenment</w:t>
      </w:r>
      <w:r w:rsidR="00E6709B" w:rsidRPr="00C157EA">
        <w:rPr>
          <w:rFonts w:ascii="Adobe Garamond Pro" w:hAnsi="Adobe Garamond Pro"/>
          <w:sz w:val="20"/>
          <w:szCs w:val="20"/>
        </w:rPr>
        <w:t xml:space="preserve">. </w:t>
      </w:r>
    </w:p>
    <w:p w14:paraId="24581D4B" w14:textId="3B46076A" w:rsidR="001B42AC" w:rsidRPr="00C157EA" w:rsidRDefault="001B42AC">
      <w:pPr>
        <w:rPr>
          <w:rFonts w:ascii="Adobe Garamond Pro" w:hAnsi="Adobe Garamond Pro"/>
          <w:sz w:val="20"/>
          <w:szCs w:val="20"/>
        </w:rPr>
      </w:pPr>
      <w:r w:rsidRPr="00C157EA">
        <w:rPr>
          <w:rFonts w:ascii="Adobe Garamond Pro" w:hAnsi="Adobe Garamond Pro"/>
          <w:sz w:val="20"/>
          <w:szCs w:val="20"/>
        </w:rPr>
        <w:tab/>
      </w:r>
      <w:r w:rsidRPr="00C157EA">
        <w:rPr>
          <w:rFonts w:ascii="Adobe Garamond Pro" w:hAnsi="Adobe Garamond Pro"/>
          <w:sz w:val="20"/>
          <w:szCs w:val="20"/>
        </w:rPr>
        <w:t xml:space="preserve">This essay looks at three texts, Borges’ “El </w:t>
      </w:r>
      <w:proofErr w:type="spellStart"/>
      <w:r w:rsidRPr="00C157EA">
        <w:rPr>
          <w:rFonts w:ascii="Adobe Garamond Pro" w:hAnsi="Adobe Garamond Pro"/>
          <w:sz w:val="20"/>
          <w:szCs w:val="20"/>
        </w:rPr>
        <w:t>Alef</w:t>
      </w:r>
      <w:proofErr w:type="spellEnd"/>
      <w:r w:rsidRPr="00C157EA">
        <w:rPr>
          <w:rFonts w:ascii="Adobe Garamond Pro" w:hAnsi="Adobe Garamond Pro"/>
          <w:sz w:val="20"/>
          <w:szCs w:val="20"/>
        </w:rPr>
        <w:t xml:space="preserve">,” the “Prolegomena” to the </w:t>
      </w:r>
      <w:r w:rsidRPr="00C157EA">
        <w:rPr>
          <w:rFonts w:ascii="Adobe Garamond Pro" w:hAnsi="Adobe Garamond Pro"/>
          <w:i/>
          <w:sz w:val="20"/>
          <w:szCs w:val="20"/>
        </w:rPr>
        <w:t>Zohar,</w:t>
      </w:r>
      <w:r w:rsidRPr="00C157EA">
        <w:rPr>
          <w:rFonts w:ascii="Adobe Garamond Pro" w:hAnsi="Adobe Garamond Pro"/>
          <w:sz w:val="20"/>
          <w:szCs w:val="20"/>
        </w:rPr>
        <w:t xml:space="preserve"> and </w:t>
      </w:r>
      <w:r w:rsidR="00E6709B" w:rsidRPr="00C157EA">
        <w:rPr>
          <w:rFonts w:ascii="Adobe Garamond Pro" w:hAnsi="Adobe Garamond Pro"/>
          <w:sz w:val="20"/>
          <w:szCs w:val="20"/>
        </w:rPr>
        <w:t>its</w:t>
      </w:r>
      <w:r w:rsidRPr="00C157EA">
        <w:rPr>
          <w:rFonts w:ascii="Adobe Garamond Pro" w:hAnsi="Adobe Garamond Pro"/>
          <w:sz w:val="20"/>
          <w:szCs w:val="20"/>
        </w:rPr>
        <w:t xml:space="preserve"> </w:t>
      </w:r>
      <w:proofErr w:type="spellStart"/>
      <w:r w:rsidRPr="00C157EA">
        <w:rPr>
          <w:rFonts w:ascii="Adobe Garamond Pro" w:hAnsi="Adobe Garamond Pro"/>
          <w:sz w:val="20"/>
          <w:szCs w:val="20"/>
        </w:rPr>
        <w:t>Zoharic</w:t>
      </w:r>
      <w:proofErr w:type="spellEnd"/>
      <w:r w:rsidRPr="00C157EA">
        <w:rPr>
          <w:rFonts w:ascii="Adobe Garamond Pro" w:hAnsi="Adobe Garamond Pro"/>
          <w:sz w:val="20"/>
          <w:szCs w:val="20"/>
        </w:rPr>
        <w:t xml:space="preserve"> antecedent, </w:t>
      </w:r>
      <w:r w:rsidRPr="00C157EA">
        <w:rPr>
          <w:rFonts w:ascii="Adobe Garamond Pro" w:hAnsi="Adobe Garamond Pro"/>
          <w:i/>
          <w:sz w:val="20"/>
          <w:szCs w:val="20"/>
        </w:rPr>
        <w:t>Ha-Bahir</w:t>
      </w:r>
      <w:r w:rsidR="00E6709B" w:rsidRPr="00C157EA">
        <w:rPr>
          <w:rFonts w:ascii="Adobe Garamond Pro" w:hAnsi="Adobe Garamond Pro"/>
          <w:i/>
          <w:sz w:val="20"/>
          <w:szCs w:val="20"/>
        </w:rPr>
        <w:t>,</w:t>
      </w:r>
      <w:r w:rsidR="00E6709B" w:rsidRPr="00C157EA">
        <w:rPr>
          <w:rFonts w:ascii="Adobe Garamond Pro" w:hAnsi="Adobe Garamond Pro"/>
          <w:sz w:val="20"/>
          <w:szCs w:val="20"/>
        </w:rPr>
        <w:t xml:space="preserve"> to think about </w:t>
      </w:r>
      <w:r w:rsidR="00ED39EC" w:rsidRPr="00C157EA">
        <w:rPr>
          <w:rFonts w:ascii="Adobe Garamond Pro" w:hAnsi="Adobe Garamond Pro"/>
          <w:sz w:val="20"/>
          <w:szCs w:val="20"/>
        </w:rPr>
        <w:t>Aleph in this function of erasing human transcendence in order to produce a “novel, living intuition,” and what this might imply for the mind a</w:t>
      </w:r>
      <w:r w:rsidR="0013726E" w:rsidRPr="00C157EA">
        <w:rPr>
          <w:rFonts w:ascii="Adobe Garamond Pro" w:hAnsi="Adobe Garamond Pro"/>
          <w:sz w:val="20"/>
          <w:szCs w:val="20"/>
        </w:rPr>
        <w:t>nd its capacities.</w:t>
      </w:r>
      <w:r w:rsidR="00E6709B" w:rsidRPr="00C157EA">
        <w:rPr>
          <w:rFonts w:ascii="Adobe Garamond Pro" w:hAnsi="Adobe Garamond Pro"/>
          <w:sz w:val="20"/>
          <w:szCs w:val="20"/>
        </w:rPr>
        <w:t xml:space="preserve"> </w:t>
      </w:r>
      <w:r w:rsidR="0013726E" w:rsidRPr="00C157EA">
        <w:rPr>
          <w:rFonts w:ascii="Adobe Garamond Pro" w:hAnsi="Adobe Garamond Pro"/>
          <w:sz w:val="20"/>
          <w:szCs w:val="20"/>
        </w:rPr>
        <w:t xml:space="preserve">By analysing these three texts, I will look at why the “novel, living intuition,” is necessary to human experience in spite of its rejection of </w:t>
      </w:r>
      <w:r w:rsidR="00520A0E" w:rsidRPr="00C157EA">
        <w:rPr>
          <w:rFonts w:ascii="Adobe Garamond Pro" w:hAnsi="Adobe Garamond Pro"/>
          <w:sz w:val="20"/>
          <w:szCs w:val="20"/>
        </w:rPr>
        <w:t xml:space="preserve">transcendence. </w:t>
      </w:r>
    </w:p>
    <w:p w14:paraId="08975357" w14:textId="3064DE50" w:rsidR="00D06FCD" w:rsidRPr="00C157EA" w:rsidRDefault="00D06FCD">
      <w:pPr>
        <w:rPr>
          <w:rFonts w:ascii="Adobe Garamond Pro" w:hAnsi="Adobe Garamond Pro"/>
          <w:sz w:val="20"/>
          <w:szCs w:val="20"/>
        </w:rPr>
      </w:pPr>
    </w:p>
    <w:p w14:paraId="28B17543" w14:textId="19D59CD4" w:rsidR="00D06FCD" w:rsidRPr="00C157EA" w:rsidRDefault="00D06FCD">
      <w:pPr>
        <w:rPr>
          <w:rFonts w:ascii="Adobe Garamond Pro" w:hAnsi="Adobe Garamond Pro"/>
          <w:sz w:val="20"/>
          <w:szCs w:val="20"/>
        </w:rPr>
      </w:pPr>
      <w:r w:rsidRPr="00C157EA">
        <w:rPr>
          <w:rFonts w:ascii="Adobe Garamond Pro" w:hAnsi="Adobe Garamond Pro"/>
          <w:sz w:val="20"/>
          <w:szCs w:val="20"/>
        </w:rPr>
        <w:t xml:space="preserve">Maria </w:t>
      </w:r>
      <w:proofErr w:type="spellStart"/>
      <w:r w:rsidRPr="00C157EA">
        <w:rPr>
          <w:rFonts w:ascii="Adobe Garamond Pro" w:hAnsi="Adobe Garamond Pro"/>
          <w:sz w:val="20"/>
          <w:szCs w:val="20"/>
        </w:rPr>
        <w:t>Rethelyi</w:t>
      </w:r>
      <w:proofErr w:type="spellEnd"/>
      <w:r w:rsidRPr="00C157EA">
        <w:rPr>
          <w:rFonts w:ascii="Adobe Garamond Pro" w:hAnsi="Adobe Garamond Pro"/>
          <w:sz w:val="20"/>
          <w:szCs w:val="20"/>
        </w:rPr>
        <w:t xml:space="preserve">, Assistant Professor of </w:t>
      </w:r>
      <w:r w:rsidR="00317782" w:rsidRPr="00C157EA">
        <w:rPr>
          <w:rFonts w:ascii="Adobe Garamond Pro" w:hAnsi="Adobe Garamond Pro"/>
          <w:sz w:val="20"/>
          <w:szCs w:val="20"/>
        </w:rPr>
        <w:t>Religious Studies, Louisiana State University, Baton Rouge, LA.</w:t>
      </w:r>
    </w:p>
    <w:p w14:paraId="50E828CE" w14:textId="37D3E750" w:rsidR="00D06FCD" w:rsidRPr="00D06FCD" w:rsidRDefault="00E77DE8" w:rsidP="00D06FCD">
      <w:pPr>
        <w:rPr>
          <w:rFonts w:ascii="Adobe Garamond Pro" w:eastAsia="Times New Roman" w:hAnsi="Adobe Garamond Pro" w:cs="Calibri"/>
          <w:color w:val="000000"/>
          <w:sz w:val="20"/>
          <w:szCs w:val="20"/>
          <w:shd w:val="clear" w:color="auto" w:fill="FFFFFF"/>
        </w:rPr>
      </w:pPr>
      <w:r>
        <w:rPr>
          <w:rFonts w:ascii="Adobe Garamond Pro" w:eastAsia="Times New Roman" w:hAnsi="Adobe Garamond Pro" w:cs="Times New Roman"/>
          <w:color w:val="191919"/>
          <w:sz w:val="20"/>
          <w:szCs w:val="20"/>
          <w:u w:val="single"/>
          <w:shd w:val="clear" w:color="auto" w:fill="FFFFFF"/>
        </w:rPr>
        <w:t xml:space="preserve">Title: </w:t>
      </w:r>
      <w:bookmarkStart w:id="0" w:name="_GoBack"/>
      <w:bookmarkEnd w:id="0"/>
      <w:r w:rsidR="00D06FCD" w:rsidRPr="00D06FCD">
        <w:rPr>
          <w:rFonts w:ascii="Adobe Garamond Pro" w:eastAsia="Times New Roman" w:hAnsi="Adobe Garamond Pro" w:cs="Times New Roman"/>
          <w:color w:val="191919"/>
          <w:sz w:val="20"/>
          <w:szCs w:val="20"/>
          <w:u w:val="single"/>
          <w:shd w:val="clear" w:color="auto" w:fill="FFFFFF"/>
        </w:rPr>
        <w:t>‘For the relief of unbearable urges’</w:t>
      </w:r>
      <w:r w:rsidR="00D06FCD" w:rsidRPr="00D06FCD">
        <w:rPr>
          <w:rFonts w:ascii="Adobe Garamond Pro" w:eastAsia="Times New Roman" w:hAnsi="Adobe Garamond Pro" w:cs="Calibri"/>
          <w:color w:val="000000"/>
          <w:sz w:val="20"/>
          <w:szCs w:val="20"/>
          <w:shd w:val="clear" w:color="auto" w:fill="FFFFFF"/>
        </w:rPr>
        <w:t>: The intervention of literature in the ethics of suicide in early twentieth century Hungarian Jewish writings</w:t>
      </w:r>
    </w:p>
    <w:p w14:paraId="75724505" w14:textId="77777777" w:rsidR="00D06FCD" w:rsidRPr="00D06FCD" w:rsidRDefault="00D06FCD" w:rsidP="00D06FCD">
      <w:pPr>
        <w:rPr>
          <w:rFonts w:ascii="Adobe Garamond Pro" w:eastAsia="Times New Roman" w:hAnsi="Adobe Garamond Pro" w:cs="Calibri"/>
          <w:color w:val="000000"/>
          <w:sz w:val="20"/>
          <w:szCs w:val="20"/>
          <w:shd w:val="clear" w:color="auto" w:fill="FFFFFF"/>
        </w:rPr>
      </w:pPr>
      <w:r w:rsidRPr="00D06FCD">
        <w:rPr>
          <w:rFonts w:ascii="Adobe Garamond Pro" w:eastAsia="Times New Roman" w:hAnsi="Adobe Garamond Pro" w:cs="Calibri"/>
          <w:color w:val="000000"/>
          <w:sz w:val="20"/>
          <w:szCs w:val="20"/>
          <w:shd w:val="clear" w:color="auto" w:fill="FFFFFF"/>
        </w:rPr>
        <w:t> </w:t>
      </w:r>
    </w:p>
    <w:p w14:paraId="3BCEB705" w14:textId="77777777" w:rsidR="00D06FCD" w:rsidRPr="00D06FCD" w:rsidRDefault="00D06FCD" w:rsidP="00D06FCD">
      <w:pPr>
        <w:rPr>
          <w:rFonts w:ascii="Adobe Garamond Pro" w:eastAsia="Times New Roman" w:hAnsi="Adobe Garamond Pro" w:cs="Calibri"/>
          <w:color w:val="000000"/>
          <w:sz w:val="20"/>
          <w:szCs w:val="20"/>
          <w:shd w:val="clear" w:color="auto" w:fill="FFFFFF"/>
        </w:rPr>
      </w:pPr>
      <w:r w:rsidRPr="00D06FCD">
        <w:rPr>
          <w:rFonts w:ascii="Adobe Garamond Pro" w:eastAsia="Times New Roman" w:hAnsi="Adobe Garamond Pro" w:cs="Calibri"/>
          <w:color w:val="000000"/>
          <w:sz w:val="20"/>
          <w:szCs w:val="20"/>
          <w:shd w:val="clear" w:color="auto" w:fill="FFFFFF"/>
        </w:rPr>
        <w:t>The paper investigates how literature among turn of the twentieth century Hungarian Jews shifts the boundaries of the sacred by proposing new ethical outlook on suicide. This shift is an outcome of the influence of Hungarian literature that influences the minority (i.e. the Hungarian Jews) who are eager to show their willingness to accept the majority’s influences and adopt to their host culture in their quest of assimilation. In this quest, literature functions as a game changer in the ethical outlook on life and its sacred untouchability and promotes to take back the power from the sacred over human life. The way literature achieves this is through evoking an aesthetic response from the consumers of literature to create literature that reflects the internalization of the new ethics as well as indorses the action of suicide. That is, the aesthetic response (in a Schopenhauerian sense) to literature promotes new ways of thinking about the morality of suicide that results in a mutually co-dependent nature of literature/ethics/ aesthetics, where literature proposes new ethics. The response is to execute the call of new ethics promoted by literature through joining in the calling into question the boundaries of the sacred and limiting it through the writing of literature. Literature becomes an agent of ethics, but by the shifting of ethical boundaries it advocates autonomy over ethics for itself as well. In this way the role of literature in ethics via aesthetics becomes that of an agent of change.</w:t>
      </w:r>
    </w:p>
    <w:p w14:paraId="52C6FD06" w14:textId="4D215709" w:rsidR="00317782" w:rsidRPr="00C157EA" w:rsidRDefault="00D06FCD" w:rsidP="00C157EA">
      <w:pPr>
        <w:rPr>
          <w:rFonts w:ascii="Adobe Garamond Pro" w:eastAsia="Times New Roman" w:hAnsi="Adobe Garamond Pro" w:cs="Calibri"/>
          <w:color w:val="000000"/>
          <w:sz w:val="20"/>
          <w:szCs w:val="20"/>
          <w:shd w:val="clear" w:color="auto" w:fill="FFFFFF"/>
        </w:rPr>
      </w:pPr>
      <w:r w:rsidRPr="00D06FCD">
        <w:rPr>
          <w:rFonts w:ascii="Adobe Garamond Pro" w:eastAsia="Times New Roman" w:hAnsi="Adobe Garamond Pro" w:cs="Calibri"/>
          <w:color w:val="000000"/>
          <w:sz w:val="20"/>
          <w:szCs w:val="20"/>
          <w:shd w:val="clear" w:color="auto" w:fill="FFFFFF"/>
        </w:rPr>
        <w:t> </w:t>
      </w:r>
    </w:p>
    <w:p w14:paraId="5694F191" w14:textId="356F665D" w:rsidR="00317782" w:rsidRDefault="00317782" w:rsidP="00317782">
      <w:pPr>
        <w:rPr>
          <w:rFonts w:ascii="Adobe Garamond Pro" w:eastAsia="Times New Roman" w:hAnsi="Adobe Garamond Pro" w:cs="Times New Roman"/>
          <w:sz w:val="20"/>
          <w:szCs w:val="20"/>
        </w:rPr>
      </w:pPr>
      <w:proofErr w:type="spellStart"/>
      <w:r w:rsidRPr="00C157EA">
        <w:rPr>
          <w:rFonts w:ascii="Adobe Garamond Pro" w:hAnsi="Adobe Garamond Pro" w:cstheme="majorBidi"/>
          <w:color w:val="1D2936"/>
          <w:sz w:val="20"/>
          <w:szCs w:val="20"/>
        </w:rPr>
        <w:t>Yudit</w:t>
      </w:r>
      <w:proofErr w:type="spellEnd"/>
      <w:r w:rsidRPr="00C157EA">
        <w:rPr>
          <w:rFonts w:ascii="Adobe Garamond Pro" w:hAnsi="Adobe Garamond Pro" w:cstheme="majorBidi"/>
          <w:color w:val="1D2936"/>
          <w:sz w:val="20"/>
          <w:szCs w:val="20"/>
        </w:rPr>
        <w:t xml:space="preserve"> Kornberg Greenberg, </w:t>
      </w:r>
      <w:r w:rsidRPr="00C157EA">
        <w:rPr>
          <w:rFonts w:ascii="Adobe Garamond Pro" w:eastAsia="Times New Roman" w:hAnsi="Adobe Garamond Pro" w:cs="Times New Roman"/>
          <w:sz w:val="20"/>
          <w:szCs w:val="20"/>
        </w:rPr>
        <w:br/>
        <w:t>George and Harriet Cornell Endowed Professor of Religion</w:t>
      </w:r>
      <w:r w:rsidRPr="00C157EA">
        <w:rPr>
          <w:rFonts w:ascii="Adobe Garamond Pro" w:eastAsia="Times New Roman" w:hAnsi="Adobe Garamond Pro" w:cs="Times New Roman"/>
          <w:sz w:val="20"/>
          <w:szCs w:val="20"/>
        </w:rPr>
        <w:br/>
        <w:t>Director, Jewish Studies Program</w:t>
      </w:r>
      <w:r w:rsidRPr="00C157EA">
        <w:rPr>
          <w:rFonts w:ascii="Adobe Garamond Pro" w:eastAsia="Times New Roman" w:hAnsi="Adobe Garamond Pro" w:cs="Times New Roman"/>
          <w:sz w:val="20"/>
          <w:szCs w:val="20"/>
        </w:rPr>
        <w:br/>
        <w:t xml:space="preserve">Director, </w:t>
      </w:r>
      <w:proofErr w:type="spellStart"/>
      <w:r w:rsidRPr="00C157EA">
        <w:rPr>
          <w:rFonts w:ascii="Adobe Garamond Pro" w:eastAsia="Times New Roman" w:hAnsi="Adobe Garamond Pro" w:cs="Times New Roman"/>
          <w:sz w:val="20"/>
          <w:szCs w:val="20"/>
        </w:rPr>
        <w:t>Center</w:t>
      </w:r>
      <w:proofErr w:type="spellEnd"/>
      <w:r w:rsidRPr="00C157EA">
        <w:rPr>
          <w:rFonts w:ascii="Adobe Garamond Pro" w:eastAsia="Times New Roman" w:hAnsi="Adobe Garamond Pro" w:cs="Times New Roman"/>
          <w:sz w:val="20"/>
          <w:szCs w:val="20"/>
        </w:rPr>
        <w:t xml:space="preserve"> for India and South Asia </w:t>
      </w:r>
      <w:r w:rsidRPr="00C157EA">
        <w:rPr>
          <w:rFonts w:ascii="Adobe Garamond Pro" w:eastAsia="Times New Roman" w:hAnsi="Adobe Garamond Pro" w:cs="Times New Roman"/>
          <w:sz w:val="20"/>
          <w:szCs w:val="20"/>
        </w:rPr>
        <w:br/>
        <w:t>Rollins College</w:t>
      </w:r>
      <w:r w:rsidRPr="00C157EA">
        <w:rPr>
          <w:rFonts w:ascii="Adobe Garamond Pro" w:eastAsia="Times New Roman" w:hAnsi="Adobe Garamond Pro" w:cs="Times New Roman"/>
          <w:sz w:val="20"/>
          <w:szCs w:val="20"/>
        </w:rPr>
        <w:br/>
        <w:t>Winter Park, Florida 32789</w:t>
      </w:r>
      <w:r w:rsidRPr="00C157EA">
        <w:rPr>
          <w:rFonts w:ascii="Adobe Garamond Pro" w:eastAsia="Times New Roman" w:hAnsi="Adobe Garamond Pro" w:cs="Times New Roman"/>
          <w:sz w:val="20"/>
          <w:szCs w:val="20"/>
        </w:rPr>
        <w:br/>
      </w:r>
      <w:hyperlink r:id="rId4" w:tgtFrame="_blank" w:history="1">
        <w:r w:rsidRPr="00C157EA">
          <w:rPr>
            <w:rFonts w:ascii="Adobe Garamond Pro" w:eastAsia="Times New Roman" w:hAnsi="Adobe Garamond Pro" w:cs="Times New Roman"/>
            <w:color w:val="0000FF"/>
            <w:sz w:val="20"/>
            <w:szCs w:val="20"/>
            <w:u w:val="single"/>
          </w:rPr>
          <w:t>(407)646-2176</w:t>
        </w:r>
      </w:hyperlink>
      <w:r w:rsidRPr="00C157EA">
        <w:rPr>
          <w:rFonts w:ascii="Adobe Garamond Pro" w:eastAsia="Times New Roman" w:hAnsi="Adobe Garamond Pro" w:cs="Times New Roman"/>
          <w:sz w:val="20"/>
          <w:szCs w:val="20"/>
        </w:rPr>
        <w:br/>
        <w:t>Fulbright-Nehru Scholar, 2015</w:t>
      </w:r>
    </w:p>
    <w:p w14:paraId="0DB6D7B4" w14:textId="3A7DC6AB" w:rsidR="00C157EA" w:rsidRDefault="00C157EA" w:rsidP="00317782">
      <w:pPr>
        <w:rPr>
          <w:rFonts w:ascii="Adobe Garamond Pro" w:eastAsia="Times New Roman" w:hAnsi="Adobe Garamond Pro" w:cs="Times New Roman"/>
          <w:sz w:val="20"/>
          <w:szCs w:val="20"/>
        </w:rPr>
      </w:pPr>
    </w:p>
    <w:p w14:paraId="2F60C1EE" w14:textId="01036CCF" w:rsidR="00C157EA" w:rsidRPr="00C157EA" w:rsidRDefault="00E77DE8" w:rsidP="00E77DE8">
      <w:pPr>
        <w:pStyle w:val="NormalWeb"/>
        <w:rPr>
          <w:rFonts w:ascii="Adobe Garamond Pro" w:hAnsi="Adobe Garamond Pro" w:cstheme="majorBidi"/>
          <w:color w:val="000000"/>
          <w:sz w:val="20"/>
          <w:szCs w:val="20"/>
        </w:rPr>
      </w:pPr>
      <w:r>
        <w:rPr>
          <w:rFonts w:ascii="Adobe Garamond Pro" w:hAnsi="Adobe Garamond Pro" w:cstheme="majorBidi"/>
          <w:color w:val="000000"/>
          <w:sz w:val="20"/>
          <w:szCs w:val="20"/>
        </w:rPr>
        <w:t xml:space="preserve">Title: </w:t>
      </w:r>
      <w:r w:rsidR="00C157EA" w:rsidRPr="00C157EA">
        <w:rPr>
          <w:rFonts w:ascii="Adobe Garamond Pro" w:hAnsi="Adobe Garamond Pro" w:cstheme="majorBidi"/>
          <w:color w:val="000000"/>
          <w:sz w:val="20"/>
          <w:szCs w:val="20"/>
        </w:rPr>
        <w:t>The Rape of Dinah, #</w:t>
      </w:r>
      <w:proofErr w:type="spellStart"/>
      <w:r w:rsidR="00C157EA" w:rsidRPr="00C157EA">
        <w:rPr>
          <w:rFonts w:ascii="Adobe Garamond Pro" w:hAnsi="Adobe Garamond Pro" w:cstheme="majorBidi"/>
          <w:color w:val="000000"/>
          <w:sz w:val="20"/>
          <w:szCs w:val="20"/>
        </w:rPr>
        <w:t>MeToo</w:t>
      </w:r>
      <w:proofErr w:type="spellEnd"/>
      <w:r w:rsidR="00C157EA" w:rsidRPr="00C157EA">
        <w:rPr>
          <w:rFonts w:ascii="Adobe Garamond Pro" w:hAnsi="Adobe Garamond Pro" w:cstheme="majorBidi"/>
          <w:color w:val="000000"/>
          <w:sz w:val="20"/>
          <w:szCs w:val="20"/>
        </w:rPr>
        <w:t>, and the Silencing of Women</w:t>
      </w:r>
    </w:p>
    <w:p w14:paraId="40A743D6" w14:textId="77777777" w:rsidR="00C157EA" w:rsidRDefault="00C157EA" w:rsidP="00C157EA">
      <w:pPr>
        <w:pStyle w:val="NormalWeb"/>
        <w:ind w:firstLine="720"/>
        <w:rPr>
          <w:rFonts w:ascii="Adobe Garamond Pro" w:hAnsi="Adobe Garamond Pro" w:cstheme="majorBidi"/>
          <w:color w:val="1D2936"/>
          <w:sz w:val="20"/>
          <w:szCs w:val="20"/>
        </w:rPr>
      </w:pPr>
    </w:p>
    <w:p w14:paraId="3F68922F" w14:textId="651A6526" w:rsidR="00317782" w:rsidRPr="00C157EA" w:rsidRDefault="00317782" w:rsidP="00C157EA">
      <w:pPr>
        <w:pStyle w:val="NormalWeb"/>
        <w:ind w:firstLine="720"/>
        <w:rPr>
          <w:rFonts w:ascii="Adobe Garamond Pro" w:hAnsi="Adobe Garamond Pro" w:cstheme="majorBidi"/>
          <w:color w:val="1D2936"/>
          <w:sz w:val="20"/>
          <w:szCs w:val="20"/>
        </w:rPr>
      </w:pPr>
      <w:r w:rsidRPr="00C157EA">
        <w:rPr>
          <w:rFonts w:ascii="Adobe Garamond Pro" w:hAnsi="Adobe Garamond Pro" w:cstheme="majorBidi"/>
          <w:color w:val="1D2936"/>
          <w:sz w:val="20"/>
          <w:szCs w:val="20"/>
        </w:rPr>
        <w:t xml:space="preserve">Genesis 34 narrates the rape of Dinah, Jacob’s daughter, at the hands of Shechem, a local Canaanite prince. Midrashic commentaries understand Dinah’s rape as a punishment of Jacob for his having withheld her from Esau. In this paper I critique biblical and rabbinic obliteration of Dinah’s agency, as exemplified in the biblical and rabbinic narratives, and argue that the silencing of victimized women persists in our society </w:t>
      </w:r>
      <w:proofErr w:type="spellStart"/>
      <w:r w:rsidRPr="00C157EA">
        <w:rPr>
          <w:rFonts w:ascii="Adobe Garamond Pro" w:hAnsi="Adobe Garamond Pro" w:cstheme="majorBidi"/>
          <w:color w:val="1D2936"/>
          <w:sz w:val="20"/>
          <w:szCs w:val="20"/>
        </w:rPr>
        <w:t>crossculturally</w:t>
      </w:r>
      <w:proofErr w:type="spellEnd"/>
      <w:r w:rsidRPr="00C157EA">
        <w:rPr>
          <w:rFonts w:ascii="Adobe Garamond Pro" w:hAnsi="Adobe Garamond Pro" w:cstheme="majorBidi"/>
          <w:color w:val="1D2936"/>
          <w:sz w:val="20"/>
          <w:szCs w:val="20"/>
        </w:rPr>
        <w:t xml:space="preserve">. Rather </w:t>
      </w:r>
      <w:r w:rsidRPr="00C157EA">
        <w:rPr>
          <w:rFonts w:ascii="Adobe Garamond Pro" w:hAnsi="Adobe Garamond Pro" w:cstheme="majorBidi"/>
          <w:color w:val="1D2936"/>
          <w:sz w:val="20"/>
          <w:szCs w:val="20"/>
        </w:rPr>
        <w:lastRenderedPageBreak/>
        <w:t xml:space="preserve">than hearing and seeing Dinah’s trauma, biblical and rabbinic authors instead highlight men’s desires: Shechem’s lust for and rape of Dinah, the brother’s desire for revenge, their eventual rape of the women of the city, and finally, Jacob’s feelings and punishment. I will advance that hegemonic male authorship and power pertaining to objectifying women is finally subverted in Anita </w:t>
      </w:r>
      <w:proofErr w:type="spellStart"/>
      <w:r w:rsidRPr="00C157EA">
        <w:rPr>
          <w:rFonts w:ascii="Adobe Garamond Pro" w:hAnsi="Adobe Garamond Pro" w:cstheme="majorBidi"/>
          <w:color w:val="1D2936"/>
          <w:sz w:val="20"/>
          <w:szCs w:val="20"/>
        </w:rPr>
        <w:t>Diamont’s</w:t>
      </w:r>
      <w:proofErr w:type="spellEnd"/>
      <w:r w:rsidRPr="00C157EA">
        <w:rPr>
          <w:rFonts w:ascii="Adobe Garamond Pro" w:hAnsi="Adobe Garamond Pro" w:cstheme="majorBidi"/>
          <w:color w:val="1D2936"/>
          <w:sz w:val="20"/>
          <w:szCs w:val="20"/>
        </w:rPr>
        <w:t xml:space="preserve"> 90’s novel, The Red Tent, in which she gives voice to Dinah, and reflect on persisting issues of sexual violence and the silencing of women in the #</w:t>
      </w:r>
      <w:proofErr w:type="spellStart"/>
      <w:r w:rsidRPr="00C157EA">
        <w:rPr>
          <w:rFonts w:ascii="Adobe Garamond Pro" w:hAnsi="Adobe Garamond Pro" w:cstheme="majorBidi"/>
          <w:color w:val="1D2936"/>
          <w:sz w:val="20"/>
          <w:szCs w:val="20"/>
        </w:rPr>
        <w:t>MeToo</w:t>
      </w:r>
      <w:proofErr w:type="spellEnd"/>
      <w:r w:rsidRPr="00C157EA">
        <w:rPr>
          <w:rFonts w:ascii="Adobe Garamond Pro" w:hAnsi="Adobe Garamond Pro" w:cstheme="majorBidi"/>
          <w:color w:val="1D2936"/>
          <w:sz w:val="20"/>
          <w:szCs w:val="20"/>
        </w:rPr>
        <w:t xml:space="preserve"> era. </w:t>
      </w:r>
    </w:p>
    <w:p w14:paraId="29BCEDDE" w14:textId="7FC44B86" w:rsidR="00317782" w:rsidRPr="00C157EA" w:rsidRDefault="00317782" w:rsidP="00317782">
      <w:pPr>
        <w:pStyle w:val="NormalWeb"/>
        <w:rPr>
          <w:rFonts w:ascii="Adobe Garamond Pro" w:hAnsi="Adobe Garamond Pro"/>
          <w:color w:val="1D2936"/>
          <w:sz w:val="20"/>
          <w:szCs w:val="20"/>
        </w:rPr>
      </w:pPr>
    </w:p>
    <w:p w14:paraId="28925874" w14:textId="5CD9A68C" w:rsidR="004054E5" w:rsidRPr="00C157EA" w:rsidRDefault="004054E5" w:rsidP="00317782">
      <w:pPr>
        <w:pStyle w:val="NormalWeb"/>
        <w:rPr>
          <w:rFonts w:ascii="Adobe Garamond Pro" w:hAnsi="Adobe Garamond Pro"/>
          <w:color w:val="1D2936"/>
          <w:sz w:val="20"/>
          <w:szCs w:val="20"/>
        </w:rPr>
      </w:pPr>
      <w:proofErr w:type="spellStart"/>
      <w:r w:rsidRPr="00C157EA">
        <w:rPr>
          <w:rFonts w:ascii="Adobe Garamond Pro" w:hAnsi="Adobe Garamond Pro"/>
          <w:color w:val="1D2936"/>
          <w:sz w:val="20"/>
          <w:szCs w:val="20"/>
        </w:rPr>
        <w:t>Ipshita</w:t>
      </w:r>
      <w:proofErr w:type="spellEnd"/>
      <w:r w:rsidRPr="00C157EA">
        <w:rPr>
          <w:rFonts w:ascii="Adobe Garamond Pro" w:hAnsi="Adobe Garamond Pro"/>
          <w:color w:val="1D2936"/>
          <w:sz w:val="20"/>
          <w:szCs w:val="20"/>
        </w:rPr>
        <w:t xml:space="preserve"> Chanda, Professor of Comparative Literature, </w:t>
      </w:r>
      <w:r w:rsidR="00C157EA" w:rsidRPr="00C157EA">
        <w:rPr>
          <w:rFonts w:ascii="Adobe Garamond Pro" w:hAnsi="Adobe Garamond Pro"/>
          <w:color w:val="1D2936"/>
          <w:sz w:val="20"/>
          <w:szCs w:val="20"/>
        </w:rPr>
        <w:t>EFL University, Hyderabad, India</w:t>
      </w:r>
    </w:p>
    <w:p w14:paraId="74DE7BC2" w14:textId="3B79CEFA" w:rsidR="004054E5" w:rsidRPr="00C157EA" w:rsidRDefault="00E77DE8" w:rsidP="004054E5">
      <w:pPr>
        <w:rPr>
          <w:rFonts w:ascii="Adobe Garamond Pro" w:hAnsi="Adobe Garamond Pro"/>
          <w:sz w:val="20"/>
          <w:szCs w:val="20"/>
        </w:rPr>
      </w:pPr>
      <w:r>
        <w:rPr>
          <w:rFonts w:ascii="Adobe Garamond Pro" w:hAnsi="Adobe Garamond Pro"/>
          <w:sz w:val="20"/>
          <w:szCs w:val="20"/>
        </w:rPr>
        <w:t xml:space="preserve">Title: </w:t>
      </w:r>
      <w:r w:rsidR="00C157EA" w:rsidRPr="00C157EA">
        <w:rPr>
          <w:rFonts w:ascii="Adobe Garamond Pro" w:hAnsi="Adobe Garamond Pro"/>
          <w:sz w:val="20"/>
          <w:szCs w:val="20"/>
        </w:rPr>
        <w:t xml:space="preserve">Reading </w:t>
      </w:r>
      <w:r w:rsidR="00C157EA">
        <w:rPr>
          <w:rFonts w:ascii="Adobe Garamond Pro" w:hAnsi="Adobe Garamond Pro"/>
          <w:sz w:val="20"/>
          <w:szCs w:val="20"/>
        </w:rPr>
        <w:t>t</w:t>
      </w:r>
      <w:r w:rsidR="00C157EA" w:rsidRPr="00C157EA">
        <w:rPr>
          <w:rFonts w:ascii="Adobe Garamond Pro" w:hAnsi="Adobe Garamond Pro"/>
          <w:sz w:val="20"/>
          <w:szCs w:val="20"/>
        </w:rPr>
        <w:t xml:space="preserve">he Sacred </w:t>
      </w:r>
      <w:r w:rsidR="00C157EA">
        <w:rPr>
          <w:rFonts w:ascii="Adobe Garamond Pro" w:hAnsi="Adobe Garamond Pro"/>
          <w:sz w:val="20"/>
          <w:szCs w:val="20"/>
        </w:rPr>
        <w:t>a</w:t>
      </w:r>
      <w:r w:rsidR="00C157EA" w:rsidRPr="00C157EA">
        <w:rPr>
          <w:rFonts w:ascii="Adobe Garamond Pro" w:hAnsi="Adobe Garamond Pro"/>
          <w:sz w:val="20"/>
          <w:szCs w:val="20"/>
        </w:rPr>
        <w:t xml:space="preserve">nd </w:t>
      </w:r>
      <w:r w:rsidR="00C157EA">
        <w:rPr>
          <w:rFonts w:ascii="Adobe Garamond Pro" w:hAnsi="Adobe Garamond Pro"/>
          <w:sz w:val="20"/>
          <w:szCs w:val="20"/>
        </w:rPr>
        <w:t>t</w:t>
      </w:r>
      <w:r w:rsidR="00C157EA" w:rsidRPr="00C157EA">
        <w:rPr>
          <w:rFonts w:ascii="Adobe Garamond Pro" w:hAnsi="Adobe Garamond Pro"/>
          <w:sz w:val="20"/>
          <w:szCs w:val="20"/>
        </w:rPr>
        <w:t xml:space="preserve">he </w:t>
      </w:r>
      <w:proofErr w:type="gramStart"/>
      <w:r w:rsidR="00C157EA" w:rsidRPr="00C157EA">
        <w:rPr>
          <w:rFonts w:ascii="Adobe Garamond Pro" w:hAnsi="Adobe Garamond Pro"/>
          <w:sz w:val="20"/>
          <w:szCs w:val="20"/>
        </w:rPr>
        <w:t>Aesthetic :</w:t>
      </w:r>
      <w:proofErr w:type="gramEnd"/>
      <w:r w:rsidR="00C157EA" w:rsidRPr="00C157EA">
        <w:rPr>
          <w:rFonts w:ascii="Adobe Garamond Pro" w:hAnsi="Adobe Garamond Pro"/>
          <w:sz w:val="20"/>
          <w:szCs w:val="20"/>
        </w:rPr>
        <w:t xml:space="preserve"> </w:t>
      </w:r>
      <w:r w:rsidR="00C157EA">
        <w:rPr>
          <w:rFonts w:ascii="Adobe Garamond Pro" w:hAnsi="Adobe Garamond Pro"/>
          <w:sz w:val="20"/>
          <w:szCs w:val="20"/>
        </w:rPr>
        <w:t>a</w:t>
      </w:r>
      <w:r w:rsidR="00C157EA" w:rsidRPr="00C157EA">
        <w:rPr>
          <w:rFonts w:ascii="Adobe Garamond Pro" w:hAnsi="Adobe Garamond Pro"/>
          <w:sz w:val="20"/>
          <w:szCs w:val="20"/>
        </w:rPr>
        <w:t xml:space="preserve"> Comparative Exercise</w:t>
      </w:r>
    </w:p>
    <w:p w14:paraId="15B0F866" w14:textId="24D73535" w:rsidR="00D06FCD" w:rsidRPr="00C157EA" w:rsidRDefault="004054E5" w:rsidP="00C157EA">
      <w:pPr>
        <w:ind w:firstLine="720"/>
        <w:rPr>
          <w:rFonts w:ascii="Adobe Garamond Pro" w:hAnsi="Adobe Garamond Pro"/>
          <w:sz w:val="20"/>
          <w:szCs w:val="20"/>
        </w:rPr>
      </w:pPr>
      <w:r w:rsidRPr="00C157EA">
        <w:rPr>
          <w:rFonts w:ascii="Adobe Garamond Pro" w:hAnsi="Adobe Garamond Pro"/>
          <w:sz w:val="20"/>
          <w:szCs w:val="20"/>
        </w:rPr>
        <w:t xml:space="preserve">This paper considers the boundaries between the experiential and the conceptual domains as the source of the sacred and the aesthetic, exploring the concretisation of these domains through and in the literary </w:t>
      </w:r>
      <w:proofErr w:type="gramStart"/>
      <w:r w:rsidRPr="00C157EA">
        <w:rPr>
          <w:rFonts w:ascii="Adobe Garamond Pro" w:hAnsi="Adobe Garamond Pro"/>
          <w:sz w:val="20"/>
          <w:szCs w:val="20"/>
        </w:rPr>
        <w:t>event .</w:t>
      </w:r>
      <w:proofErr w:type="gramEnd"/>
      <w:r w:rsidRPr="00C157EA">
        <w:rPr>
          <w:rFonts w:ascii="Adobe Garamond Pro" w:hAnsi="Adobe Garamond Pro"/>
          <w:sz w:val="20"/>
          <w:szCs w:val="20"/>
        </w:rPr>
        <w:t xml:space="preserve"> The larger theoretical question is whether a substance ontology or an event ontology for literature is useful to think through the issues like cultural relativism and literary invariants which form elements of the “broader theory of literary intervention” that the focus of this panel ascribes to comparative literature.  </w:t>
      </w:r>
      <w:proofErr w:type="gramStart"/>
      <w:r w:rsidRPr="00C157EA">
        <w:rPr>
          <w:rFonts w:ascii="Adobe Garamond Pro" w:hAnsi="Adobe Garamond Pro"/>
          <w:sz w:val="20"/>
          <w:szCs w:val="20"/>
        </w:rPr>
        <w:t>Locating  the</w:t>
      </w:r>
      <w:proofErr w:type="gramEnd"/>
      <w:r w:rsidRPr="00C157EA">
        <w:rPr>
          <w:rFonts w:ascii="Adobe Garamond Pro" w:hAnsi="Adobe Garamond Pro"/>
          <w:sz w:val="20"/>
          <w:szCs w:val="20"/>
        </w:rPr>
        <w:t xml:space="preserve"> literary event in the condition of ontological and epistemological plurality, we attempt to understand how through this frame, reading  as an activity is predicated on an ethics,  neither absolute nor essentialist, which characterises the “comparative” approach to literature.</w:t>
      </w:r>
    </w:p>
    <w:p w14:paraId="6F20FEC1" w14:textId="5FDA1D69" w:rsidR="00C157EA" w:rsidRPr="00C157EA" w:rsidRDefault="00C157EA" w:rsidP="004054E5">
      <w:pPr>
        <w:rPr>
          <w:rFonts w:ascii="Adobe Garamond Pro" w:hAnsi="Adobe Garamond Pro"/>
          <w:sz w:val="20"/>
          <w:szCs w:val="20"/>
        </w:rPr>
      </w:pPr>
    </w:p>
    <w:p w14:paraId="4DA7232E" w14:textId="38A03D85" w:rsidR="00C157EA" w:rsidRPr="00C157EA" w:rsidRDefault="00C157EA" w:rsidP="004054E5">
      <w:pPr>
        <w:rPr>
          <w:rFonts w:ascii="Adobe Garamond Pro" w:hAnsi="Adobe Garamond Pro"/>
          <w:sz w:val="20"/>
          <w:szCs w:val="20"/>
        </w:rPr>
      </w:pPr>
      <w:proofErr w:type="spellStart"/>
      <w:r w:rsidRPr="00C157EA">
        <w:rPr>
          <w:rFonts w:ascii="Adobe Garamond Pro" w:hAnsi="Adobe Garamond Pro"/>
          <w:sz w:val="20"/>
          <w:szCs w:val="20"/>
        </w:rPr>
        <w:t>Soelve</w:t>
      </w:r>
      <w:proofErr w:type="spellEnd"/>
      <w:r w:rsidRPr="00C157EA">
        <w:rPr>
          <w:rFonts w:ascii="Adobe Garamond Pro" w:hAnsi="Adobe Garamond Pro"/>
          <w:sz w:val="20"/>
          <w:szCs w:val="20"/>
        </w:rPr>
        <w:t xml:space="preserve"> </w:t>
      </w:r>
      <w:proofErr w:type="spellStart"/>
      <w:r w:rsidRPr="00C157EA">
        <w:rPr>
          <w:rFonts w:ascii="Adobe Garamond Pro" w:hAnsi="Adobe Garamond Pro"/>
          <w:sz w:val="20"/>
          <w:szCs w:val="20"/>
        </w:rPr>
        <w:t>Curdts</w:t>
      </w:r>
      <w:proofErr w:type="spellEnd"/>
      <w:r w:rsidRPr="00C157EA">
        <w:rPr>
          <w:rFonts w:ascii="Adobe Garamond Pro" w:hAnsi="Adobe Garamond Pro"/>
          <w:sz w:val="20"/>
          <w:szCs w:val="20"/>
        </w:rPr>
        <w:t>, Assistant Professor of Comparative Literature, Dusseldorf University</w:t>
      </w:r>
    </w:p>
    <w:p w14:paraId="1C95AE81" w14:textId="77777777" w:rsidR="00C157EA" w:rsidRPr="00C157EA" w:rsidRDefault="00C157EA" w:rsidP="00C157EA">
      <w:pPr>
        <w:rPr>
          <w:rFonts w:ascii="Adobe Garamond Pro" w:eastAsia="Times New Roman" w:hAnsi="Adobe Garamond Pro" w:cs="Times New Roman"/>
          <w:sz w:val="20"/>
          <w:szCs w:val="20"/>
        </w:rPr>
      </w:pPr>
      <w:r w:rsidRPr="00C157EA">
        <w:rPr>
          <w:rFonts w:ascii="Adobe Garamond Pro" w:eastAsia="Times New Roman" w:hAnsi="Adobe Garamond Pro" w:cs="Times New Roman"/>
          <w:sz w:val="20"/>
          <w:szCs w:val="20"/>
        </w:rPr>
        <w:t>Paper Title: Magnificent Disarticulation: The Sacred and The Fallen in Dostoevsky and Baudelaire</w:t>
      </w:r>
    </w:p>
    <w:p w14:paraId="35545917" w14:textId="77777777" w:rsidR="00C157EA" w:rsidRPr="00C157EA" w:rsidRDefault="00C157EA" w:rsidP="00C157EA">
      <w:pPr>
        <w:rPr>
          <w:rFonts w:ascii="Adobe Garamond Pro" w:eastAsia="Times New Roman" w:hAnsi="Adobe Garamond Pro" w:cs="Times New Roman"/>
          <w:sz w:val="20"/>
          <w:szCs w:val="20"/>
        </w:rPr>
      </w:pPr>
      <w:r w:rsidRPr="00C157EA">
        <w:rPr>
          <w:rFonts w:ascii="Adobe Garamond Pro" w:eastAsia="Times New Roman" w:hAnsi="Adobe Garamond Pro" w:cs="Times New Roman"/>
          <w:sz w:val="20"/>
          <w:szCs w:val="20"/>
        </w:rPr>
        <w:t>Abstract</w:t>
      </w:r>
    </w:p>
    <w:p w14:paraId="7FEA931B" w14:textId="77777777" w:rsidR="00C157EA" w:rsidRPr="00C157EA" w:rsidRDefault="00C157EA" w:rsidP="00C157EA">
      <w:pPr>
        <w:ind w:firstLine="720"/>
        <w:rPr>
          <w:rFonts w:ascii="Adobe Garamond Pro" w:eastAsia="Times New Roman" w:hAnsi="Adobe Garamond Pro" w:cs="Times New Roman"/>
          <w:sz w:val="20"/>
          <w:szCs w:val="20"/>
        </w:rPr>
      </w:pPr>
      <w:r w:rsidRPr="00C157EA">
        <w:rPr>
          <w:rFonts w:ascii="Adobe Garamond Pro" w:eastAsia="Times New Roman" w:hAnsi="Adobe Garamond Pro" w:cs="Times New Roman"/>
          <w:sz w:val="20"/>
          <w:szCs w:val="20"/>
        </w:rPr>
        <w:t>This paper revisits the idea of the sacred in conjunction with the idea of fallenness. These two notions, I argue, are often linked by conceptions of beauty/the aesthetic. Thus, thematically, the fallen archangel Lucifer is marked by his former (light bearing) magnificence (Milton) which contrasts even as it appears to precipitate his fall. The present paper pursues this linkage not in its thematic, but in its formal manifestations in two texts which ostensibly have nothing in common except ‘punishment of pride’, Baudelaire’s poem from Les Fleurs du Mal with the same title, and The Brothers Karamazov, specifically Ivan. I argue that the motif of madness shared by both texts neither constitutes a purely ‘moral’ punishment for the pride of intellectual/spiritual magnificence, nor does it replay the cliché of the ‘mad genius’. Rather, Baudelaire’s and Dostoevsky’s texts—precisely in their difference from one another—point to a peculiar predicament of modernity, in which the mind finds itself muted in its attempts (the most magnificent ones perhaps) at (self-)articulation.</w:t>
      </w:r>
    </w:p>
    <w:p w14:paraId="7664D701" w14:textId="77777777" w:rsidR="00C157EA" w:rsidRPr="00C157EA" w:rsidRDefault="00C157EA" w:rsidP="004054E5">
      <w:pPr>
        <w:rPr>
          <w:rFonts w:ascii="Adobe Garamond Pro" w:hAnsi="Adobe Garamond Pro"/>
          <w:sz w:val="20"/>
          <w:szCs w:val="20"/>
        </w:rPr>
      </w:pPr>
    </w:p>
    <w:sectPr w:rsidR="00C157EA" w:rsidRPr="00C157EA" w:rsidSect="00EE5F0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2AFF" w:usb1="D000785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4E"/>
    <w:rsid w:val="00136301"/>
    <w:rsid w:val="0013726E"/>
    <w:rsid w:val="0018505D"/>
    <w:rsid w:val="001B42AC"/>
    <w:rsid w:val="001E2313"/>
    <w:rsid w:val="00317782"/>
    <w:rsid w:val="003B2AE0"/>
    <w:rsid w:val="004054E5"/>
    <w:rsid w:val="00520A0E"/>
    <w:rsid w:val="005B4FEA"/>
    <w:rsid w:val="007674C3"/>
    <w:rsid w:val="00775032"/>
    <w:rsid w:val="00A60C4E"/>
    <w:rsid w:val="00B3218E"/>
    <w:rsid w:val="00C157EA"/>
    <w:rsid w:val="00CF68C8"/>
    <w:rsid w:val="00D06FCD"/>
    <w:rsid w:val="00E6709B"/>
    <w:rsid w:val="00E77DE8"/>
    <w:rsid w:val="00ED39EC"/>
    <w:rsid w:val="00EE5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1994EB"/>
  <w14:defaultImageDpi w14:val="32767"/>
  <w15:chartTrackingRefBased/>
  <w15:docId w15:val="{003E1CCA-DE22-4C46-977F-C0AA352E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7782"/>
    <w:rPr>
      <w:rFonts w:ascii="Calibri" w:hAnsi="Calibri" w:cs="Calibri"/>
      <w:sz w:val="22"/>
      <w:szCs w:val="22"/>
      <w:lang w:val="en-US" w:bidi="he-IL"/>
    </w:rPr>
  </w:style>
  <w:style w:type="character" w:styleId="Hyperlink">
    <w:name w:val="Hyperlink"/>
    <w:basedOn w:val="DefaultParagraphFont"/>
    <w:uiPriority w:val="99"/>
    <w:semiHidden/>
    <w:unhideWhenUsed/>
    <w:rsid w:val="00317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1358">
      <w:bodyDiv w:val="1"/>
      <w:marLeft w:val="0"/>
      <w:marRight w:val="0"/>
      <w:marTop w:val="0"/>
      <w:marBottom w:val="0"/>
      <w:divBdr>
        <w:top w:val="none" w:sz="0" w:space="0" w:color="auto"/>
        <w:left w:val="none" w:sz="0" w:space="0" w:color="auto"/>
        <w:bottom w:val="none" w:sz="0" w:space="0" w:color="auto"/>
        <w:right w:val="none" w:sz="0" w:space="0" w:color="auto"/>
      </w:divBdr>
    </w:div>
    <w:div w:id="1280063602">
      <w:bodyDiv w:val="1"/>
      <w:marLeft w:val="0"/>
      <w:marRight w:val="0"/>
      <w:marTop w:val="0"/>
      <w:marBottom w:val="0"/>
      <w:divBdr>
        <w:top w:val="none" w:sz="0" w:space="0" w:color="auto"/>
        <w:left w:val="none" w:sz="0" w:space="0" w:color="auto"/>
        <w:bottom w:val="none" w:sz="0" w:space="0" w:color="auto"/>
        <w:right w:val="none" w:sz="0" w:space="0" w:color="auto"/>
      </w:divBdr>
      <w:divsChild>
        <w:div w:id="346638434">
          <w:marLeft w:val="0"/>
          <w:marRight w:val="0"/>
          <w:marTop w:val="0"/>
          <w:marBottom w:val="0"/>
          <w:divBdr>
            <w:top w:val="none" w:sz="0" w:space="0" w:color="auto"/>
            <w:left w:val="none" w:sz="0" w:space="0" w:color="auto"/>
            <w:bottom w:val="none" w:sz="0" w:space="0" w:color="auto"/>
            <w:right w:val="none" w:sz="0" w:space="0" w:color="auto"/>
          </w:divBdr>
        </w:div>
        <w:div w:id="4945752">
          <w:marLeft w:val="0"/>
          <w:marRight w:val="0"/>
          <w:marTop w:val="0"/>
          <w:marBottom w:val="0"/>
          <w:divBdr>
            <w:top w:val="none" w:sz="0" w:space="0" w:color="auto"/>
            <w:left w:val="none" w:sz="0" w:space="0" w:color="auto"/>
            <w:bottom w:val="none" w:sz="0" w:space="0" w:color="auto"/>
            <w:right w:val="none" w:sz="0" w:space="0" w:color="auto"/>
          </w:divBdr>
        </w:div>
        <w:div w:id="529150641">
          <w:marLeft w:val="0"/>
          <w:marRight w:val="0"/>
          <w:marTop w:val="0"/>
          <w:marBottom w:val="0"/>
          <w:divBdr>
            <w:top w:val="none" w:sz="0" w:space="0" w:color="auto"/>
            <w:left w:val="none" w:sz="0" w:space="0" w:color="auto"/>
            <w:bottom w:val="none" w:sz="0" w:space="0" w:color="auto"/>
            <w:right w:val="none" w:sz="0" w:space="0" w:color="auto"/>
          </w:divBdr>
        </w:div>
        <w:div w:id="1511337882">
          <w:marLeft w:val="0"/>
          <w:marRight w:val="0"/>
          <w:marTop w:val="0"/>
          <w:marBottom w:val="0"/>
          <w:divBdr>
            <w:top w:val="none" w:sz="0" w:space="0" w:color="auto"/>
            <w:left w:val="none" w:sz="0" w:space="0" w:color="auto"/>
            <w:bottom w:val="none" w:sz="0" w:space="0" w:color="auto"/>
            <w:right w:val="none" w:sz="0" w:space="0" w:color="auto"/>
          </w:divBdr>
        </w:div>
      </w:divsChild>
    </w:div>
    <w:div w:id="1711222620">
      <w:bodyDiv w:val="1"/>
      <w:marLeft w:val="0"/>
      <w:marRight w:val="0"/>
      <w:marTop w:val="0"/>
      <w:marBottom w:val="0"/>
      <w:divBdr>
        <w:top w:val="none" w:sz="0" w:space="0" w:color="auto"/>
        <w:left w:val="none" w:sz="0" w:space="0" w:color="auto"/>
        <w:bottom w:val="none" w:sz="0" w:space="0" w:color="auto"/>
        <w:right w:val="none" w:sz="0" w:space="0" w:color="auto"/>
      </w:divBdr>
      <w:divsChild>
        <w:div w:id="662586309">
          <w:marLeft w:val="0"/>
          <w:marRight w:val="0"/>
          <w:marTop w:val="0"/>
          <w:marBottom w:val="0"/>
          <w:divBdr>
            <w:top w:val="none" w:sz="0" w:space="0" w:color="auto"/>
            <w:left w:val="none" w:sz="0" w:space="0" w:color="auto"/>
            <w:bottom w:val="none" w:sz="0" w:space="0" w:color="auto"/>
            <w:right w:val="none" w:sz="0" w:space="0" w:color="auto"/>
          </w:divBdr>
        </w:div>
        <w:div w:id="2063213758">
          <w:marLeft w:val="0"/>
          <w:marRight w:val="0"/>
          <w:marTop w:val="0"/>
          <w:marBottom w:val="0"/>
          <w:divBdr>
            <w:top w:val="none" w:sz="0" w:space="0" w:color="auto"/>
            <w:left w:val="none" w:sz="0" w:space="0" w:color="auto"/>
            <w:bottom w:val="none" w:sz="0" w:space="0" w:color="auto"/>
            <w:right w:val="none" w:sz="0" w:space="0" w:color="auto"/>
          </w:divBdr>
        </w:div>
        <w:div w:id="64867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407)646-2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2018-10-27T21:41:00Z</dcterms:created>
  <dcterms:modified xsi:type="dcterms:W3CDTF">2018-10-27T21:41:00Z</dcterms:modified>
</cp:coreProperties>
</file>