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D3BB8" w14:textId="6EEFA992" w:rsidR="000337D3" w:rsidRDefault="00E53A53" w:rsidP="000D1EFF">
      <w:pPr>
        <w:spacing w:line="480" w:lineRule="auto"/>
        <w:jc w:val="center"/>
        <w:rPr>
          <w:rFonts w:ascii="Times New Roman" w:hAnsi="Times New Roman"/>
          <w:b/>
          <w:sz w:val="32"/>
          <w:szCs w:val="32"/>
        </w:rPr>
      </w:pPr>
      <w:bookmarkStart w:id="0" w:name="_GoBack"/>
      <w:bookmarkEnd w:id="0"/>
      <w:r w:rsidRPr="009E202E">
        <w:rPr>
          <w:rFonts w:ascii="Times New Roman" w:hAnsi="Times New Roman"/>
          <w:b/>
          <w:sz w:val="32"/>
          <w:szCs w:val="32"/>
        </w:rPr>
        <w:t>MAG Scholar</w:t>
      </w:r>
      <w:r>
        <w:rPr>
          <w:rFonts w:ascii="Times New Roman" w:hAnsi="Times New Roman"/>
          <w:b/>
          <w:sz w:val="32"/>
          <w:szCs w:val="32"/>
        </w:rPr>
        <w:t xml:space="preserve"> Conference</w:t>
      </w:r>
      <w:r w:rsidRPr="009E202E">
        <w:rPr>
          <w:rFonts w:ascii="Times New Roman" w:hAnsi="Times New Roman"/>
          <w:b/>
          <w:sz w:val="32"/>
          <w:szCs w:val="32"/>
        </w:rPr>
        <w:t xml:space="preserve"> </w:t>
      </w:r>
      <w:r w:rsidR="00D7337A">
        <w:rPr>
          <w:rFonts w:ascii="Times New Roman" w:hAnsi="Times New Roman"/>
          <w:b/>
          <w:sz w:val="32"/>
          <w:szCs w:val="32"/>
        </w:rPr>
        <w:t xml:space="preserve">Paper Template </w:t>
      </w:r>
    </w:p>
    <w:p w14:paraId="0DB8E8CC" w14:textId="77777777" w:rsidR="009A5445" w:rsidRPr="00982DC0" w:rsidRDefault="009E3CD7" w:rsidP="000D1EFF">
      <w:pPr>
        <w:spacing w:line="480" w:lineRule="auto"/>
        <w:jc w:val="center"/>
        <w:rPr>
          <w:rFonts w:ascii="Times New Roman" w:hAnsi="Times New Roman"/>
          <w:b/>
          <w:sz w:val="32"/>
          <w:szCs w:val="32"/>
        </w:rPr>
      </w:pPr>
      <w:r w:rsidRPr="009E3CD7">
        <w:rPr>
          <w:rFonts w:ascii="Times New Roman" w:hAnsi="Times New Roman"/>
          <w:b/>
          <w:sz w:val="32"/>
          <w:szCs w:val="32"/>
        </w:rPr>
        <w:t>(Times New Roman 16 points, bold, centered)</w:t>
      </w:r>
    </w:p>
    <w:p w14:paraId="09C7A39E" w14:textId="77777777" w:rsidR="001C3D3E" w:rsidRPr="001C3D3E" w:rsidRDefault="001C3D3E" w:rsidP="000D1EFF">
      <w:pPr>
        <w:snapToGrid w:val="0"/>
        <w:spacing w:line="480" w:lineRule="auto"/>
        <w:ind w:firstLineChars="200" w:firstLine="480"/>
        <w:jc w:val="center"/>
        <w:rPr>
          <w:rFonts w:ascii="Times New Roman" w:hAnsi="Times New Roman"/>
          <w:szCs w:val="32"/>
        </w:rPr>
      </w:pPr>
    </w:p>
    <w:p w14:paraId="4ADC9F24" w14:textId="77777777" w:rsidR="00D7337A" w:rsidRDefault="00D7337A" w:rsidP="000D1EFF">
      <w:pPr>
        <w:snapToGrid w:val="0"/>
        <w:spacing w:line="480" w:lineRule="auto"/>
        <w:ind w:firstLineChars="200" w:firstLine="480"/>
        <w:jc w:val="center"/>
        <w:rPr>
          <w:rFonts w:ascii="Times New Roman" w:hAnsi="Times New Roman"/>
          <w:b/>
          <w:i/>
          <w:szCs w:val="24"/>
          <w:lang w:eastAsia="zh-HK"/>
        </w:rPr>
      </w:pPr>
      <w:r>
        <w:rPr>
          <w:rFonts w:ascii="Times New Roman" w:hAnsi="Times New Roman"/>
          <w:b/>
          <w:i/>
          <w:szCs w:val="24"/>
          <w:lang w:eastAsia="zh-HK"/>
        </w:rPr>
        <w:t>F</w:t>
      </w:r>
      <w:r w:rsidRPr="000337D3">
        <w:rPr>
          <w:rFonts w:ascii="Times New Roman" w:hAnsi="Times New Roman"/>
          <w:b/>
          <w:i/>
          <w:szCs w:val="24"/>
          <w:lang w:eastAsia="zh-HK"/>
        </w:rPr>
        <w:t xml:space="preserve">irst </w:t>
      </w:r>
      <w:r w:rsidR="009A5445" w:rsidRPr="000337D3">
        <w:rPr>
          <w:rFonts w:ascii="Times New Roman" w:hAnsi="Times New Roman"/>
          <w:b/>
          <w:i/>
          <w:szCs w:val="24"/>
          <w:lang w:eastAsia="zh-HK"/>
        </w:rPr>
        <w:t>Author</w:t>
      </w:r>
      <w:r w:rsidRPr="000337D3">
        <w:rPr>
          <w:rFonts w:ascii="Times New Roman" w:hAnsi="Times New Roman"/>
          <w:b/>
          <w:i/>
          <w:szCs w:val="24"/>
          <w:vertAlign w:val="superscript"/>
          <w:lang w:eastAsia="zh-HK"/>
        </w:rPr>
        <w:t>1</w:t>
      </w:r>
      <w:r w:rsidR="009A5445" w:rsidRPr="000337D3">
        <w:rPr>
          <w:rFonts w:ascii="Times New Roman" w:hAnsi="Times New Roman"/>
          <w:b/>
          <w:i/>
          <w:szCs w:val="24"/>
          <w:lang w:eastAsia="zh-HK"/>
        </w:rPr>
        <w:t xml:space="preserve">, </w:t>
      </w:r>
      <w:r w:rsidRPr="000337D3">
        <w:rPr>
          <w:rFonts w:ascii="Times New Roman" w:hAnsi="Times New Roman"/>
          <w:b/>
          <w:i/>
          <w:szCs w:val="24"/>
          <w:lang w:eastAsia="zh-HK"/>
        </w:rPr>
        <w:t>Second Author</w:t>
      </w:r>
      <w:r w:rsidRPr="000337D3">
        <w:rPr>
          <w:rFonts w:ascii="Times New Roman" w:hAnsi="Times New Roman"/>
          <w:b/>
          <w:i/>
          <w:szCs w:val="24"/>
          <w:vertAlign w:val="superscript"/>
          <w:lang w:eastAsia="zh-HK"/>
        </w:rPr>
        <w:t>2</w:t>
      </w:r>
      <w:r w:rsidRPr="000337D3">
        <w:rPr>
          <w:rFonts w:ascii="Times New Roman" w:hAnsi="Times New Roman"/>
          <w:b/>
          <w:i/>
          <w:szCs w:val="24"/>
          <w:lang w:eastAsia="zh-HK"/>
        </w:rPr>
        <w:t xml:space="preserve"> </w:t>
      </w:r>
      <w:r>
        <w:rPr>
          <w:rFonts w:ascii="Times New Roman" w:hAnsi="Times New Roman"/>
          <w:b/>
          <w:i/>
          <w:szCs w:val="24"/>
          <w:lang w:eastAsia="zh-HK"/>
        </w:rPr>
        <w:t xml:space="preserve">and Third </w:t>
      </w:r>
      <w:r>
        <w:rPr>
          <w:rFonts w:ascii="Times New Roman" w:hAnsi="Times New Roman" w:hint="eastAsia"/>
          <w:b/>
          <w:i/>
          <w:szCs w:val="24"/>
          <w:lang w:eastAsia="zh-HK"/>
        </w:rPr>
        <w:t>Author</w:t>
      </w:r>
      <w:r w:rsidRPr="00D7337A">
        <w:rPr>
          <w:rFonts w:ascii="Times New Roman" w:hAnsi="Times New Roman"/>
          <w:b/>
          <w:i/>
          <w:szCs w:val="24"/>
          <w:vertAlign w:val="superscript"/>
          <w:lang w:eastAsia="zh-HK"/>
        </w:rPr>
        <w:t>3</w:t>
      </w:r>
    </w:p>
    <w:p w14:paraId="0CD21181" w14:textId="77777777" w:rsidR="00D7337A" w:rsidRDefault="00D7337A" w:rsidP="000D1EFF">
      <w:pPr>
        <w:snapToGrid w:val="0"/>
        <w:spacing w:line="480" w:lineRule="auto"/>
        <w:ind w:firstLineChars="200" w:firstLine="476"/>
        <w:jc w:val="center"/>
        <w:rPr>
          <w:rFonts w:ascii="Times New Roman" w:hAnsi="Times New Roman"/>
          <w:b/>
          <w:i/>
          <w:spacing w:val="-2"/>
          <w:szCs w:val="24"/>
          <w:lang w:val="en-GB"/>
        </w:rPr>
      </w:pPr>
      <w:r w:rsidRPr="00D7337A">
        <w:rPr>
          <w:rFonts w:ascii="Times New Roman" w:hAnsi="Times New Roman"/>
          <w:b/>
          <w:i/>
          <w:spacing w:val="-2"/>
          <w:szCs w:val="24"/>
          <w:vertAlign w:val="superscript"/>
          <w:lang w:val="en-GB"/>
        </w:rPr>
        <w:t>1</w:t>
      </w:r>
      <w:r w:rsidRPr="00D7337A">
        <w:rPr>
          <w:rFonts w:ascii="Times New Roman" w:hAnsi="Times New Roman"/>
          <w:b/>
          <w:i/>
          <w:spacing w:val="-2"/>
          <w:szCs w:val="24"/>
          <w:lang w:val="en-GB"/>
        </w:rPr>
        <w:t>Affiliation</w:t>
      </w:r>
    </w:p>
    <w:p w14:paraId="71F64B24" w14:textId="77777777" w:rsidR="00D7337A" w:rsidRDefault="00D7337A" w:rsidP="000D1EFF">
      <w:pPr>
        <w:snapToGrid w:val="0"/>
        <w:spacing w:line="480" w:lineRule="auto"/>
        <w:ind w:firstLineChars="200" w:firstLine="476"/>
        <w:jc w:val="center"/>
        <w:rPr>
          <w:rFonts w:ascii="Times New Roman" w:hAnsi="Times New Roman"/>
          <w:b/>
          <w:i/>
          <w:spacing w:val="-2"/>
          <w:szCs w:val="24"/>
          <w:lang w:val="en-GB"/>
        </w:rPr>
      </w:pPr>
      <w:r>
        <w:rPr>
          <w:rFonts w:ascii="Times New Roman" w:hAnsi="Times New Roman"/>
          <w:b/>
          <w:i/>
          <w:spacing w:val="-2"/>
          <w:szCs w:val="24"/>
          <w:vertAlign w:val="superscript"/>
          <w:lang w:val="en-GB"/>
        </w:rPr>
        <w:t>2</w:t>
      </w:r>
      <w:r w:rsidRPr="00D7337A">
        <w:rPr>
          <w:rFonts w:ascii="Times New Roman" w:hAnsi="Times New Roman"/>
          <w:b/>
          <w:i/>
          <w:spacing w:val="-2"/>
          <w:szCs w:val="24"/>
          <w:lang w:val="en-GB"/>
        </w:rPr>
        <w:t>Affiliation</w:t>
      </w:r>
    </w:p>
    <w:p w14:paraId="10AD96A6" w14:textId="77777777" w:rsidR="000A34ED" w:rsidRPr="000A34ED" w:rsidRDefault="00D7337A" w:rsidP="000D1EFF">
      <w:pPr>
        <w:snapToGrid w:val="0"/>
        <w:spacing w:line="480" w:lineRule="auto"/>
        <w:ind w:firstLineChars="200" w:firstLine="476"/>
        <w:jc w:val="center"/>
        <w:rPr>
          <w:rFonts w:ascii="Times New Roman" w:hAnsi="Times New Roman"/>
          <w:b/>
          <w:i/>
          <w:spacing w:val="-2"/>
          <w:szCs w:val="24"/>
          <w:lang w:val="en-GB"/>
        </w:rPr>
      </w:pPr>
      <w:r>
        <w:rPr>
          <w:rFonts w:ascii="Times New Roman" w:hAnsi="Times New Roman"/>
          <w:b/>
          <w:i/>
          <w:spacing w:val="-2"/>
          <w:szCs w:val="24"/>
          <w:vertAlign w:val="superscript"/>
          <w:lang w:val="en-GB"/>
        </w:rPr>
        <w:t>3</w:t>
      </w:r>
      <w:r w:rsidRPr="00D7337A">
        <w:rPr>
          <w:rFonts w:ascii="Times New Roman" w:hAnsi="Times New Roman"/>
          <w:b/>
          <w:i/>
          <w:spacing w:val="-2"/>
          <w:szCs w:val="24"/>
          <w:lang w:val="en-GB"/>
        </w:rPr>
        <w:t>Affiliation</w:t>
      </w:r>
    </w:p>
    <w:p w14:paraId="6E790770" w14:textId="77777777" w:rsidR="009A5445" w:rsidRPr="00982DC0" w:rsidRDefault="00D7337A" w:rsidP="000D1EFF">
      <w:pPr>
        <w:snapToGrid w:val="0"/>
        <w:spacing w:line="480" w:lineRule="auto"/>
        <w:ind w:firstLineChars="200" w:firstLine="480"/>
        <w:jc w:val="center"/>
        <w:rPr>
          <w:rFonts w:ascii="Times New Roman" w:eastAsiaTheme="minorEastAsia" w:hAnsi="Times New Roman"/>
          <w:b/>
          <w:i/>
          <w:szCs w:val="24"/>
          <w:lang w:eastAsia="zh-CN"/>
        </w:rPr>
      </w:pPr>
      <w:r>
        <w:rPr>
          <w:rFonts w:ascii="Times New Roman" w:hAnsi="Times New Roman" w:hint="eastAsia"/>
          <w:b/>
          <w:i/>
          <w:szCs w:val="24"/>
          <w:lang w:eastAsia="zh-HK"/>
        </w:rPr>
        <w:t xml:space="preserve"> </w:t>
      </w:r>
      <w:r w:rsidR="004C4C54">
        <w:rPr>
          <w:rFonts w:ascii="Times New Roman" w:hAnsi="Times New Roman" w:hint="eastAsia"/>
          <w:b/>
          <w:i/>
          <w:szCs w:val="24"/>
          <w:lang w:eastAsia="zh-HK"/>
        </w:rPr>
        <w:t xml:space="preserve">(Times New Roman 12 points, </w:t>
      </w:r>
      <w:r w:rsidRPr="00D7337A">
        <w:rPr>
          <w:rFonts w:ascii="Times New Roman" w:hAnsi="Times New Roman"/>
          <w:b/>
          <w:i/>
          <w:szCs w:val="24"/>
          <w:lang w:eastAsia="zh-HK"/>
        </w:rPr>
        <w:t>bold</w:t>
      </w:r>
      <w:r>
        <w:rPr>
          <w:rFonts w:ascii="Times New Roman" w:hAnsi="Times New Roman"/>
          <w:b/>
          <w:i/>
          <w:szCs w:val="24"/>
          <w:lang w:eastAsia="zh-HK"/>
        </w:rPr>
        <w:t>,</w:t>
      </w:r>
      <w:r w:rsidRPr="00D7337A">
        <w:rPr>
          <w:rFonts w:ascii="Times New Roman" w:hAnsi="Times New Roman" w:hint="eastAsia"/>
          <w:b/>
          <w:i/>
          <w:szCs w:val="24"/>
          <w:lang w:eastAsia="zh-HK"/>
        </w:rPr>
        <w:t xml:space="preserve"> </w:t>
      </w:r>
      <w:r w:rsidR="004C4C54">
        <w:rPr>
          <w:rFonts w:ascii="Times New Roman" w:hAnsi="Times New Roman" w:hint="eastAsia"/>
          <w:b/>
          <w:i/>
          <w:szCs w:val="24"/>
          <w:lang w:eastAsia="zh-HK"/>
        </w:rPr>
        <w:t xml:space="preserve">centered, </w:t>
      </w:r>
      <w:r w:rsidR="004C4C54">
        <w:rPr>
          <w:rFonts w:ascii="Times New Roman" w:hAnsi="Times New Roman"/>
          <w:b/>
          <w:i/>
          <w:szCs w:val="24"/>
          <w:lang w:eastAsia="zh-HK"/>
        </w:rPr>
        <w:t>Italics</w:t>
      </w:r>
      <w:r w:rsidR="004C4C54">
        <w:rPr>
          <w:rFonts w:ascii="Times New Roman" w:hAnsi="Times New Roman" w:hint="eastAsia"/>
          <w:b/>
          <w:i/>
          <w:szCs w:val="24"/>
          <w:lang w:eastAsia="zh-HK"/>
        </w:rPr>
        <w:t>)</w:t>
      </w:r>
    </w:p>
    <w:p w14:paraId="341F492D" w14:textId="77777777" w:rsidR="009A5445" w:rsidRPr="001C3D3E" w:rsidRDefault="009A5445" w:rsidP="000D1EFF">
      <w:pPr>
        <w:widowControl/>
        <w:spacing w:line="480" w:lineRule="auto"/>
        <w:ind w:firstLineChars="200" w:firstLine="480"/>
        <w:jc w:val="center"/>
        <w:rPr>
          <w:rFonts w:ascii="Times New Roman" w:eastAsia="SimSun" w:hAnsi="Times New Roman"/>
          <w:szCs w:val="24"/>
          <w:lang w:val="en-GB"/>
        </w:rPr>
      </w:pPr>
    </w:p>
    <w:p w14:paraId="2F4715FF" w14:textId="77777777" w:rsidR="009A5445" w:rsidRPr="00AE31D5" w:rsidRDefault="00AE31D5" w:rsidP="000D1EFF">
      <w:pPr>
        <w:snapToGrid w:val="0"/>
        <w:spacing w:line="480" w:lineRule="auto"/>
        <w:ind w:firstLineChars="200" w:firstLine="482"/>
        <w:jc w:val="center"/>
        <w:rPr>
          <w:rFonts w:ascii="Times New Roman" w:eastAsia="SimSun" w:hAnsi="Times New Roman"/>
          <w:b/>
          <w:szCs w:val="24"/>
        </w:rPr>
      </w:pPr>
      <w:r w:rsidRPr="000047D8">
        <w:rPr>
          <w:rFonts w:ascii="Times New Roman" w:eastAsia="SimSun" w:hAnsi="Times New Roman"/>
          <w:b/>
          <w:szCs w:val="24"/>
        </w:rPr>
        <w:t>Abstract</w:t>
      </w:r>
      <w:r>
        <w:rPr>
          <w:rFonts w:ascii="Times New Roman" w:eastAsia="SimSun" w:hAnsi="Times New Roman"/>
          <w:b/>
          <w:szCs w:val="24"/>
        </w:rPr>
        <w:t xml:space="preserve"> </w:t>
      </w:r>
      <w:r w:rsidRPr="00AE31D5">
        <w:rPr>
          <w:rFonts w:ascii="Times New Roman" w:hAnsi="Times New Roman"/>
          <w:b/>
          <w:szCs w:val="24"/>
          <w:lang w:eastAsia="zh-HK"/>
        </w:rPr>
        <w:t>(</w:t>
      </w:r>
      <w:r w:rsidRPr="00AE31D5">
        <w:rPr>
          <w:rFonts w:ascii="Times New Roman" w:hAnsi="Times New Roman" w:hint="eastAsia"/>
          <w:b/>
          <w:szCs w:val="24"/>
          <w:lang w:eastAsia="zh-HK"/>
        </w:rPr>
        <w:t>Times New Roman 12 points</w:t>
      </w:r>
      <w:r>
        <w:rPr>
          <w:rFonts w:ascii="Times New Roman" w:hAnsi="Times New Roman"/>
          <w:b/>
          <w:szCs w:val="24"/>
          <w:lang w:eastAsia="zh-HK"/>
        </w:rPr>
        <w:t xml:space="preserve">, </w:t>
      </w:r>
      <w:r w:rsidRPr="00AE31D5">
        <w:rPr>
          <w:rFonts w:ascii="Times New Roman" w:hAnsi="Times New Roman"/>
          <w:b/>
          <w:szCs w:val="24"/>
          <w:lang w:eastAsia="zh-HK"/>
        </w:rPr>
        <w:t>bold,</w:t>
      </w:r>
      <w:r w:rsidRPr="00AE31D5">
        <w:rPr>
          <w:rFonts w:ascii="Times New Roman" w:hAnsi="Times New Roman" w:hint="eastAsia"/>
          <w:b/>
          <w:szCs w:val="24"/>
          <w:lang w:eastAsia="zh-HK"/>
        </w:rPr>
        <w:t xml:space="preserve"> centered)</w:t>
      </w:r>
    </w:p>
    <w:p w14:paraId="55239886" w14:textId="4FAF6EAB" w:rsidR="009A5445" w:rsidRPr="00982DC0" w:rsidRDefault="00A14A6E" w:rsidP="000D1EFF">
      <w:pPr>
        <w:snapToGrid w:val="0"/>
        <w:spacing w:line="480" w:lineRule="auto"/>
        <w:jc w:val="both"/>
        <w:rPr>
          <w:rFonts w:ascii="Times New Roman" w:hAnsi="Times New Roman"/>
          <w:szCs w:val="24"/>
        </w:rPr>
      </w:pPr>
      <w:r w:rsidRPr="00A14A6E">
        <w:rPr>
          <w:rFonts w:ascii="Times New Roman" w:eastAsia="SimSun" w:hAnsi="Times New Roman"/>
          <w:szCs w:val="24"/>
        </w:rPr>
        <w:t xml:space="preserve">Here are the formatting guidelines for the Proceedings </w:t>
      </w:r>
      <w:r>
        <w:rPr>
          <w:rFonts w:ascii="Times New Roman" w:eastAsia="SimSun" w:hAnsi="Times New Roman"/>
          <w:szCs w:val="24"/>
        </w:rPr>
        <w:t xml:space="preserve">of </w:t>
      </w:r>
      <w:r w:rsidR="00E53A53">
        <w:rPr>
          <w:rFonts w:ascii="Times New Roman" w:eastAsia="SimSun" w:hAnsi="Times New Roman"/>
          <w:szCs w:val="24"/>
        </w:rPr>
        <w:t>the MAG Scholar Conference</w:t>
      </w:r>
      <w:r>
        <w:rPr>
          <w:rFonts w:ascii="Times New Roman" w:eastAsia="SimSun" w:hAnsi="Times New Roman"/>
          <w:szCs w:val="24"/>
        </w:rPr>
        <w:t xml:space="preserve">. </w:t>
      </w:r>
      <w:r w:rsidRPr="00A14A6E">
        <w:rPr>
          <w:rFonts w:ascii="Times New Roman" w:eastAsia="SimSun" w:hAnsi="Times New Roman"/>
          <w:szCs w:val="24"/>
        </w:rPr>
        <w:t xml:space="preserve">You should use the following guidelines for the preparation of your manuscript. Papers not meeting these requirements may not </w:t>
      </w:r>
      <w:r w:rsidR="000337D3">
        <w:rPr>
          <w:rFonts w:ascii="Times New Roman" w:eastAsia="SimSun" w:hAnsi="Times New Roman"/>
          <w:szCs w:val="24"/>
        </w:rPr>
        <w:t xml:space="preserve">be accepted and </w:t>
      </w:r>
      <w:r w:rsidRPr="00A14A6E">
        <w:rPr>
          <w:rFonts w:ascii="Times New Roman" w:eastAsia="SimSun" w:hAnsi="Times New Roman"/>
          <w:szCs w:val="24"/>
        </w:rPr>
        <w:t>appear in the Proceedings. Please make sure to have your manuscript written in grammatically correct English and free of all spelling and typing errors. This MS-Word document can be used as a template.</w:t>
      </w:r>
      <w:r>
        <w:rPr>
          <w:rFonts w:ascii="Times New Roman" w:eastAsia="SimSun" w:hAnsi="Times New Roman"/>
          <w:szCs w:val="24"/>
        </w:rPr>
        <w:t xml:space="preserve"> </w:t>
      </w:r>
      <w:r>
        <w:rPr>
          <w:rFonts w:ascii="Times New Roman" w:hAnsi="Times New Roman"/>
          <w:szCs w:val="24"/>
          <w:lang w:eastAsia="zh-HK"/>
        </w:rPr>
        <w:t>(</w:t>
      </w:r>
      <w:r>
        <w:rPr>
          <w:rFonts w:ascii="Times New Roman" w:hAnsi="Times New Roman" w:hint="eastAsia"/>
          <w:szCs w:val="24"/>
          <w:lang w:eastAsia="zh-HK"/>
        </w:rPr>
        <w:t>Times New Roman 12 points)</w:t>
      </w:r>
    </w:p>
    <w:p w14:paraId="519F320F" w14:textId="77777777" w:rsidR="009A5445" w:rsidRDefault="009A5445" w:rsidP="000D1EFF">
      <w:pPr>
        <w:snapToGrid w:val="0"/>
        <w:spacing w:line="480" w:lineRule="auto"/>
        <w:jc w:val="both"/>
        <w:rPr>
          <w:rFonts w:ascii="Times New Roman" w:hAnsi="Times New Roman"/>
          <w:szCs w:val="24"/>
          <w:lang w:eastAsia="zh-HK"/>
        </w:rPr>
      </w:pPr>
      <w:r w:rsidRPr="009A5445">
        <w:rPr>
          <w:rFonts w:ascii="Times New Roman" w:eastAsia="SimSun" w:hAnsi="Times New Roman"/>
          <w:b/>
          <w:i/>
          <w:szCs w:val="24"/>
        </w:rPr>
        <w:t>Keywords</w:t>
      </w:r>
      <w:r w:rsidRPr="000047D8">
        <w:rPr>
          <w:rFonts w:ascii="Times New Roman" w:eastAsia="SimSun" w:hAnsi="Times New Roman"/>
          <w:i/>
          <w:szCs w:val="24"/>
        </w:rPr>
        <w:t>:</w:t>
      </w:r>
      <w:r w:rsidRPr="000047D8">
        <w:rPr>
          <w:rFonts w:ascii="Times New Roman" w:eastAsia="SimSun" w:hAnsi="Times New Roman"/>
          <w:szCs w:val="24"/>
        </w:rPr>
        <w:t xml:space="preserve"> </w:t>
      </w:r>
      <w:r>
        <w:rPr>
          <w:rFonts w:ascii="Times New Roman" w:hAnsi="Times New Roman" w:hint="eastAsia"/>
          <w:szCs w:val="24"/>
          <w:lang w:eastAsia="zh-HK"/>
        </w:rPr>
        <w:t>Marketing</w:t>
      </w:r>
      <w:r w:rsidR="00A14A6E">
        <w:rPr>
          <w:rFonts w:ascii="Times New Roman" w:hAnsi="Times New Roman"/>
          <w:szCs w:val="24"/>
          <w:lang w:eastAsia="zh-HK"/>
        </w:rPr>
        <w:t>;</w:t>
      </w:r>
      <w:r>
        <w:rPr>
          <w:rFonts w:ascii="Times New Roman" w:hAnsi="Times New Roman" w:hint="eastAsia"/>
          <w:szCs w:val="24"/>
          <w:lang w:eastAsia="zh-HK"/>
        </w:rPr>
        <w:t xml:space="preserve"> </w:t>
      </w:r>
      <w:r w:rsidR="001C3D3E">
        <w:rPr>
          <w:rFonts w:ascii="Times New Roman" w:hAnsi="Times New Roman"/>
          <w:szCs w:val="24"/>
          <w:lang w:eastAsia="zh-HK"/>
        </w:rPr>
        <w:t>L</w:t>
      </w:r>
      <w:r>
        <w:rPr>
          <w:rFonts w:ascii="Times New Roman" w:eastAsia="SimSun" w:hAnsi="Times New Roman"/>
          <w:szCs w:val="24"/>
        </w:rPr>
        <w:t>eadership</w:t>
      </w:r>
      <w:r w:rsidR="001C3D3E">
        <w:rPr>
          <w:rFonts w:ascii="Times New Roman" w:eastAsia="SimSun" w:hAnsi="Times New Roman"/>
          <w:szCs w:val="24"/>
        </w:rPr>
        <w:t xml:space="preserve">; Management; </w:t>
      </w:r>
      <w:r>
        <w:rPr>
          <w:rFonts w:ascii="Times New Roman" w:hAnsi="Times New Roman"/>
          <w:szCs w:val="24"/>
          <w:lang w:eastAsia="zh-HK"/>
        </w:rPr>
        <w:t>… (</w:t>
      </w:r>
      <w:r>
        <w:rPr>
          <w:rFonts w:ascii="Times New Roman" w:hAnsi="Times New Roman" w:hint="eastAsia"/>
          <w:szCs w:val="24"/>
          <w:lang w:eastAsia="zh-HK"/>
        </w:rPr>
        <w:t>Times New Roman 12 points)</w:t>
      </w:r>
    </w:p>
    <w:p w14:paraId="63503A12" w14:textId="77777777" w:rsidR="0098746E" w:rsidRDefault="0098746E" w:rsidP="000D1EFF">
      <w:pPr>
        <w:snapToGrid w:val="0"/>
        <w:spacing w:line="480" w:lineRule="auto"/>
        <w:jc w:val="both"/>
        <w:rPr>
          <w:rFonts w:ascii="Times New Roman" w:hAnsi="Times New Roman"/>
          <w:szCs w:val="24"/>
          <w:lang w:eastAsia="zh-HK"/>
        </w:rPr>
      </w:pPr>
    </w:p>
    <w:p w14:paraId="17D0AF77" w14:textId="77777777" w:rsidR="0098746E" w:rsidRPr="000D1EFF" w:rsidRDefault="0098746E" w:rsidP="000D1EFF">
      <w:pPr>
        <w:spacing w:line="480" w:lineRule="auto"/>
        <w:rPr>
          <w:rFonts w:ascii="Times New Roman" w:hAnsi="Times New Roman"/>
          <w:b/>
          <w:sz w:val="22"/>
          <w:szCs w:val="24"/>
        </w:rPr>
      </w:pPr>
      <w:r w:rsidRPr="000D1EFF">
        <w:rPr>
          <w:rFonts w:ascii="Times New Roman" w:hAnsi="Times New Roman"/>
          <w:b/>
          <w:szCs w:val="24"/>
        </w:rPr>
        <w:t>1. Introduction</w:t>
      </w:r>
      <w:r w:rsidR="001C3D3E" w:rsidRPr="000D1EFF">
        <w:rPr>
          <w:rFonts w:ascii="Times New Roman" w:hAnsi="Times New Roman"/>
          <w:b/>
          <w:szCs w:val="24"/>
        </w:rPr>
        <w:t xml:space="preserve"> (Times New Roman 1</w:t>
      </w:r>
      <w:r w:rsidR="000D1EFF">
        <w:rPr>
          <w:rFonts w:ascii="Times New Roman" w:hAnsi="Times New Roman"/>
          <w:b/>
          <w:szCs w:val="24"/>
        </w:rPr>
        <w:t>2</w:t>
      </w:r>
      <w:r w:rsidR="001C3D3E" w:rsidRPr="000D1EFF">
        <w:rPr>
          <w:rFonts w:ascii="Times New Roman" w:hAnsi="Times New Roman"/>
          <w:b/>
          <w:szCs w:val="24"/>
        </w:rPr>
        <w:t xml:space="preserve"> points, bold)</w:t>
      </w:r>
    </w:p>
    <w:p w14:paraId="3BE8236D" w14:textId="77777777" w:rsidR="00982DC0" w:rsidRPr="00982DC0" w:rsidRDefault="00982DC0" w:rsidP="000D1EFF">
      <w:pPr>
        <w:spacing w:line="480" w:lineRule="auto"/>
        <w:jc w:val="both"/>
        <w:rPr>
          <w:rFonts w:ascii="Times New Roman" w:hAnsi="Times New Roman"/>
          <w:szCs w:val="24"/>
        </w:rPr>
      </w:pPr>
      <w:r w:rsidRPr="00982DC0">
        <w:rPr>
          <w:rFonts w:ascii="Times New Roman" w:hAnsi="Times New Roman"/>
          <w:szCs w:val="24"/>
        </w:rPr>
        <w:t xml:space="preserve">The proceedings are the records of the conference. </w:t>
      </w:r>
      <w:r>
        <w:rPr>
          <w:rFonts w:ascii="Times New Roman" w:hAnsi="Times New Roman"/>
          <w:szCs w:val="24"/>
        </w:rPr>
        <w:t>We hope</w:t>
      </w:r>
      <w:r w:rsidRPr="00982DC0">
        <w:rPr>
          <w:rFonts w:ascii="Times New Roman" w:hAnsi="Times New Roman"/>
          <w:szCs w:val="24"/>
        </w:rPr>
        <w:t xml:space="preserve"> to give these conference by-products a single, high-quality appearance. To do this, we ask that authors follow some simple guidelines. In essence, we ask you to make your paper look exactly like this document. The easiest way to do this is simply to download a template from </w:t>
      </w:r>
      <w:r>
        <w:rPr>
          <w:rFonts w:ascii="Times New Roman" w:hAnsi="Times New Roman"/>
          <w:szCs w:val="24"/>
        </w:rPr>
        <w:t xml:space="preserve">conference </w:t>
      </w:r>
      <w:r>
        <w:rPr>
          <w:rFonts w:ascii="Times New Roman" w:hAnsi="Times New Roman"/>
          <w:szCs w:val="24"/>
        </w:rPr>
        <w:lastRenderedPageBreak/>
        <w:t>website</w:t>
      </w:r>
      <w:r w:rsidRPr="00982DC0">
        <w:rPr>
          <w:rFonts w:ascii="Times New Roman" w:hAnsi="Times New Roman"/>
          <w:szCs w:val="24"/>
        </w:rPr>
        <w:t>, and replace the content with your own material.</w:t>
      </w:r>
      <w:r w:rsidR="0098746E" w:rsidRPr="001C3D3E">
        <w:rPr>
          <w:rFonts w:ascii="Times New Roman" w:hAnsi="Times New Roman"/>
          <w:szCs w:val="24"/>
        </w:rPr>
        <w:t xml:space="preserve"> </w:t>
      </w:r>
    </w:p>
    <w:p w14:paraId="53A3D31B" w14:textId="77777777" w:rsidR="00982DC0" w:rsidRPr="000D1EFF" w:rsidRDefault="00982DC0" w:rsidP="000D1EFF">
      <w:pPr>
        <w:spacing w:line="480" w:lineRule="auto"/>
        <w:rPr>
          <w:rFonts w:ascii="Times New Roman" w:hAnsi="Times New Roman"/>
          <w:b/>
          <w:szCs w:val="28"/>
        </w:rPr>
      </w:pPr>
      <w:r w:rsidRPr="000D1EFF">
        <w:rPr>
          <w:rFonts w:ascii="Times New Roman" w:hAnsi="Times New Roman"/>
          <w:b/>
          <w:szCs w:val="28"/>
        </w:rPr>
        <w:t>2. Typeset Text</w:t>
      </w:r>
    </w:p>
    <w:p w14:paraId="4EE689BA" w14:textId="77777777" w:rsidR="001C3D3E" w:rsidRPr="001C3D3E" w:rsidRDefault="00982DC0" w:rsidP="000D1EFF">
      <w:pPr>
        <w:spacing w:line="480" w:lineRule="auto"/>
        <w:rPr>
          <w:rFonts w:ascii="Times New Roman" w:hAnsi="Times New Roman"/>
          <w:b/>
        </w:rPr>
      </w:pPr>
      <w:r>
        <w:rPr>
          <w:rFonts w:ascii="Times New Roman" w:hAnsi="Times New Roman"/>
          <w:b/>
        </w:rPr>
        <w:t>2</w:t>
      </w:r>
      <w:r w:rsidR="001C3D3E" w:rsidRPr="001C3D3E">
        <w:rPr>
          <w:rFonts w:ascii="Times New Roman" w:hAnsi="Times New Roman"/>
          <w:b/>
        </w:rPr>
        <w:t xml:space="preserve">.1 </w:t>
      </w:r>
      <w:r w:rsidR="001C3D3E" w:rsidRPr="001C3D3E">
        <w:rPr>
          <w:rFonts w:ascii="Times New Roman" w:hAnsi="Times New Roman"/>
          <w:b/>
          <w:lang w:val="en-GB" w:eastAsia="zh-HK"/>
        </w:rPr>
        <w:t>Normal or Body Text</w:t>
      </w:r>
      <w:r w:rsidR="001C3D3E">
        <w:rPr>
          <w:rFonts w:ascii="Times New Roman" w:hAnsi="Times New Roman"/>
          <w:b/>
          <w:lang w:val="en-GB" w:eastAsia="zh-HK"/>
        </w:rPr>
        <w:t xml:space="preserve"> </w:t>
      </w:r>
      <w:r w:rsidR="001C3D3E" w:rsidRPr="001C3D3E">
        <w:rPr>
          <w:rFonts w:ascii="Times New Roman" w:hAnsi="Times New Roman"/>
          <w:b/>
          <w:szCs w:val="24"/>
        </w:rPr>
        <w:t>(Times New Roman 12 points, bold)</w:t>
      </w:r>
    </w:p>
    <w:p w14:paraId="7D3E7304" w14:textId="77777777" w:rsidR="0098746E" w:rsidRDefault="001C3D3E" w:rsidP="000D1EFF">
      <w:pPr>
        <w:spacing w:line="480" w:lineRule="auto"/>
        <w:jc w:val="both"/>
        <w:rPr>
          <w:rFonts w:ascii="Times New Roman" w:hAnsi="Times New Roman"/>
          <w:lang w:val="en-GB" w:eastAsia="zh-HK"/>
        </w:rPr>
      </w:pPr>
      <w:r w:rsidRPr="001C3D3E">
        <w:rPr>
          <w:rFonts w:ascii="Times New Roman" w:hAnsi="Times New Roman"/>
          <w:lang w:val="en-GB" w:eastAsia="zh-HK"/>
        </w:rPr>
        <w:t xml:space="preserve">Please use a </w:t>
      </w:r>
      <w:r w:rsidR="00982DC0">
        <w:rPr>
          <w:rFonts w:ascii="Times New Roman" w:hAnsi="Times New Roman"/>
          <w:lang w:val="en-GB" w:eastAsia="zh-HK"/>
        </w:rPr>
        <w:t>12</w:t>
      </w:r>
      <w:r w:rsidRPr="001C3D3E">
        <w:rPr>
          <w:rFonts w:ascii="Times New Roman" w:hAnsi="Times New Roman"/>
          <w:lang w:val="en-GB" w:eastAsia="zh-HK"/>
        </w:rPr>
        <w:t>-point Times Roman font</w:t>
      </w:r>
      <w:r w:rsidR="00982DC0">
        <w:rPr>
          <w:rFonts w:ascii="Times New Roman" w:hAnsi="Times New Roman"/>
          <w:lang w:val="en-GB" w:eastAsia="zh-HK"/>
        </w:rPr>
        <w:t xml:space="preserve">. </w:t>
      </w:r>
      <w:r w:rsidRPr="001C3D3E">
        <w:rPr>
          <w:rFonts w:ascii="Times New Roman" w:hAnsi="Times New Roman"/>
          <w:lang w:val="en-GB" w:eastAsia="zh-HK"/>
        </w:rPr>
        <w:t>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14:paraId="5FCF6779" w14:textId="77777777" w:rsidR="00982DC0" w:rsidRPr="00982DC0" w:rsidRDefault="00982DC0" w:rsidP="000D1EFF">
      <w:pPr>
        <w:spacing w:line="480" w:lineRule="auto"/>
        <w:jc w:val="both"/>
        <w:rPr>
          <w:rFonts w:ascii="Times New Roman" w:hAnsi="Times New Roman"/>
          <w:b/>
        </w:rPr>
      </w:pPr>
      <w:r w:rsidRPr="00982DC0">
        <w:rPr>
          <w:rFonts w:ascii="Times New Roman" w:hAnsi="Times New Roman"/>
          <w:b/>
        </w:rPr>
        <w:t>2.2 Page Numbering, Headers and Footers</w:t>
      </w:r>
    </w:p>
    <w:p w14:paraId="32C17316" w14:textId="77777777" w:rsidR="00757DF1" w:rsidRDefault="00982DC0" w:rsidP="000D1EFF">
      <w:pPr>
        <w:spacing w:line="480" w:lineRule="auto"/>
        <w:rPr>
          <w:rFonts w:ascii="Times New Roman" w:hAnsi="Times New Roman"/>
          <w:lang w:val="en-GB" w:eastAsia="zh-HK"/>
        </w:rPr>
      </w:pPr>
      <w:r w:rsidRPr="00982DC0">
        <w:rPr>
          <w:rFonts w:ascii="Times New Roman" w:hAnsi="Times New Roman"/>
          <w:lang w:val="en-GB" w:eastAsia="zh-HK"/>
        </w:rPr>
        <w:t>Do not include headers, footers or page numbers in your submission. These will be added when the publications are assembled.</w:t>
      </w:r>
    </w:p>
    <w:p w14:paraId="4268DC92" w14:textId="77777777" w:rsidR="00982DC0" w:rsidRPr="00982DC0" w:rsidRDefault="00982DC0" w:rsidP="000D1EFF">
      <w:pPr>
        <w:spacing w:line="480" w:lineRule="auto"/>
        <w:jc w:val="both"/>
        <w:rPr>
          <w:rFonts w:ascii="Times New Roman" w:hAnsi="Times New Roman"/>
          <w:b/>
        </w:rPr>
      </w:pPr>
      <w:r w:rsidRPr="00982DC0">
        <w:rPr>
          <w:rFonts w:ascii="Times New Roman" w:hAnsi="Times New Roman"/>
          <w:b/>
        </w:rPr>
        <w:t>2.3 Tables and Figures</w:t>
      </w:r>
    </w:p>
    <w:p w14:paraId="4BE2B51D" w14:textId="77777777" w:rsidR="00982DC0" w:rsidRPr="00982DC0" w:rsidRDefault="00982DC0" w:rsidP="000D1EFF">
      <w:pPr>
        <w:spacing w:line="480" w:lineRule="auto"/>
        <w:jc w:val="center"/>
        <w:rPr>
          <w:rFonts w:ascii="Times New Roman" w:hAnsi="Times New Roman"/>
          <w:lang w:val="en-GB" w:eastAsia="zh-HK"/>
        </w:rPr>
      </w:pPr>
      <w:r w:rsidRPr="00982DC0">
        <w:rPr>
          <w:rFonts w:ascii="Times New Roman" w:hAnsi="Times New Roman"/>
          <w:lang w:val="en-GB" w:eastAsia="zh-HK"/>
        </w:rPr>
        <w:t xml:space="preserve">Table </w:t>
      </w:r>
      <w:r w:rsidRPr="00982DC0">
        <w:rPr>
          <w:rFonts w:ascii="Times New Roman" w:hAnsi="Times New Roman"/>
          <w:lang w:val="en-GB" w:eastAsia="zh-HK"/>
        </w:rPr>
        <w:fldChar w:fldCharType="begin"/>
      </w:r>
      <w:r w:rsidRPr="00982DC0">
        <w:rPr>
          <w:rFonts w:ascii="Times New Roman" w:hAnsi="Times New Roman"/>
          <w:lang w:val="en-GB" w:eastAsia="zh-HK"/>
        </w:rPr>
        <w:instrText xml:space="preserve"> SEQ Table \* ARABIC </w:instrText>
      </w:r>
      <w:r w:rsidRPr="00982DC0">
        <w:rPr>
          <w:rFonts w:ascii="Times New Roman" w:hAnsi="Times New Roman"/>
          <w:lang w:val="en-GB" w:eastAsia="zh-HK"/>
        </w:rPr>
        <w:fldChar w:fldCharType="separate"/>
      </w:r>
      <w:r w:rsidRPr="00982DC0">
        <w:rPr>
          <w:rFonts w:ascii="Times New Roman" w:hAnsi="Times New Roman"/>
          <w:lang w:val="en-GB" w:eastAsia="zh-HK"/>
        </w:rPr>
        <w:t>1</w:t>
      </w:r>
      <w:r w:rsidRPr="00982DC0">
        <w:rPr>
          <w:rFonts w:ascii="Times New Roman" w:hAnsi="Times New Roman"/>
          <w:lang w:val="en-GB" w:eastAsia="zh-HK"/>
        </w:rPr>
        <w:fldChar w:fldCharType="end"/>
      </w:r>
      <w:r w:rsidRPr="00982DC0">
        <w:rPr>
          <w:rFonts w:ascii="Times New Roman" w:hAnsi="Times New Roman"/>
          <w:lang w:val="en-GB" w:eastAsia="zh-HK"/>
        </w:rPr>
        <w:t>. Table captions should be placed above the table</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60" w:firstRow="1" w:lastRow="1" w:firstColumn="0" w:lastColumn="1" w:noHBand="0" w:noVBand="0"/>
      </w:tblPr>
      <w:tblGrid>
        <w:gridCol w:w="2181"/>
        <w:gridCol w:w="1732"/>
        <w:gridCol w:w="2531"/>
        <w:gridCol w:w="2190"/>
      </w:tblGrid>
      <w:tr w:rsidR="00982DC0" w:rsidRPr="00982DC0" w14:paraId="5A971758" w14:textId="77777777" w:rsidTr="00982DC0">
        <w:trPr>
          <w:trHeight w:val="310"/>
        </w:trPr>
        <w:tc>
          <w:tcPr>
            <w:tcW w:w="1263" w:type="pct"/>
            <w:vAlign w:val="center"/>
          </w:tcPr>
          <w:p w14:paraId="534AFED6" w14:textId="77777777" w:rsidR="00982DC0" w:rsidRPr="00982DC0" w:rsidRDefault="00982DC0" w:rsidP="000D1EFF">
            <w:pPr>
              <w:pStyle w:val="BodyTextIndent"/>
              <w:spacing w:line="480" w:lineRule="auto"/>
              <w:ind w:firstLine="0"/>
              <w:jc w:val="center"/>
              <w:rPr>
                <w:rFonts w:eastAsia="PMingLiU"/>
                <w:kern w:val="2"/>
                <w:sz w:val="24"/>
                <w:szCs w:val="22"/>
                <w:lang w:val="en-GB" w:eastAsia="zh-HK"/>
              </w:rPr>
            </w:pPr>
            <w:r w:rsidRPr="00982DC0">
              <w:rPr>
                <w:rFonts w:eastAsia="PMingLiU"/>
                <w:kern w:val="2"/>
                <w:sz w:val="24"/>
                <w:szCs w:val="22"/>
                <w:lang w:val="en-GB" w:eastAsia="zh-HK"/>
              </w:rPr>
              <w:t>Graphics</w:t>
            </w:r>
          </w:p>
        </w:tc>
        <w:tc>
          <w:tcPr>
            <w:tcW w:w="1003" w:type="pct"/>
            <w:vAlign w:val="center"/>
          </w:tcPr>
          <w:p w14:paraId="7F1F47C2" w14:textId="77777777" w:rsidR="00982DC0" w:rsidRPr="00982DC0" w:rsidRDefault="00982DC0" w:rsidP="000D1EFF">
            <w:pPr>
              <w:pStyle w:val="BodyTextIndent"/>
              <w:spacing w:line="480" w:lineRule="auto"/>
              <w:ind w:firstLine="0"/>
              <w:jc w:val="center"/>
              <w:rPr>
                <w:rFonts w:eastAsia="PMingLiU"/>
                <w:kern w:val="2"/>
                <w:sz w:val="24"/>
                <w:szCs w:val="22"/>
                <w:lang w:val="en-GB" w:eastAsia="zh-HK"/>
              </w:rPr>
            </w:pPr>
            <w:r w:rsidRPr="00982DC0">
              <w:rPr>
                <w:rFonts w:eastAsia="PMingLiU"/>
                <w:kern w:val="2"/>
                <w:sz w:val="24"/>
                <w:szCs w:val="22"/>
                <w:lang w:val="en-GB" w:eastAsia="zh-HK"/>
              </w:rPr>
              <w:t>Top</w:t>
            </w:r>
          </w:p>
        </w:tc>
        <w:tc>
          <w:tcPr>
            <w:tcW w:w="1466" w:type="pct"/>
            <w:vAlign w:val="center"/>
          </w:tcPr>
          <w:p w14:paraId="6E10CC85" w14:textId="77777777" w:rsidR="00982DC0" w:rsidRPr="00982DC0" w:rsidRDefault="00982DC0" w:rsidP="000D1EFF">
            <w:pPr>
              <w:pStyle w:val="BodyTextIndent"/>
              <w:spacing w:line="480" w:lineRule="auto"/>
              <w:ind w:firstLine="0"/>
              <w:jc w:val="center"/>
              <w:rPr>
                <w:rFonts w:eastAsia="PMingLiU"/>
                <w:kern w:val="2"/>
                <w:sz w:val="24"/>
                <w:szCs w:val="22"/>
                <w:lang w:val="en-GB" w:eastAsia="zh-HK"/>
              </w:rPr>
            </w:pPr>
            <w:r w:rsidRPr="00982DC0">
              <w:rPr>
                <w:rFonts w:eastAsia="PMingLiU"/>
                <w:kern w:val="2"/>
                <w:sz w:val="24"/>
                <w:szCs w:val="22"/>
                <w:lang w:val="en-GB" w:eastAsia="zh-HK"/>
              </w:rPr>
              <w:t>In-between</w:t>
            </w:r>
          </w:p>
        </w:tc>
        <w:tc>
          <w:tcPr>
            <w:tcW w:w="1268" w:type="pct"/>
            <w:vAlign w:val="center"/>
          </w:tcPr>
          <w:p w14:paraId="1582EBA7" w14:textId="77777777" w:rsidR="00982DC0" w:rsidRPr="00982DC0" w:rsidRDefault="00982DC0" w:rsidP="000D1EFF">
            <w:pPr>
              <w:pStyle w:val="BodyTextIndent"/>
              <w:spacing w:line="480" w:lineRule="auto"/>
              <w:ind w:firstLine="0"/>
              <w:jc w:val="center"/>
              <w:rPr>
                <w:rFonts w:eastAsia="PMingLiU"/>
                <w:kern w:val="2"/>
                <w:sz w:val="24"/>
                <w:szCs w:val="22"/>
                <w:lang w:val="en-GB" w:eastAsia="zh-HK"/>
              </w:rPr>
            </w:pPr>
            <w:r w:rsidRPr="00982DC0">
              <w:rPr>
                <w:rFonts w:eastAsia="PMingLiU"/>
                <w:kern w:val="2"/>
                <w:sz w:val="24"/>
                <w:szCs w:val="22"/>
                <w:lang w:val="en-GB" w:eastAsia="zh-HK"/>
              </w:rPr>
              <w:t>Bottom</w:t>
            </w:r>
          </w:p>
        </w:tc>
      </w:tr>
      <w:tr w:rsidR="00982DC0" w:rsidRPr="00982DC0" w14:paraId="528B8C65" w14:textId="77777777" w:rsidTr="00982DC0">
        <w:trPr>
          <w:trHeight w:val="310"/>
        </w:trPr>
        <w:tc>
          <w:tcPr>
            <w:tcW w:w="1263" w:type="pct"/>
            <w:vAlign w:val="center"/>
          </w:tcPr>
          <w:p w14:paraId="71677537" w14:textId="77777777" w:rsidR="00982DC0" w:rsidRPr="00982DC0" w:rsidRDefault="00982DC0" w:rsidP="000D1EFF">
            <w:pPr>
              <w:pStyle w:val="BodyTextIndent"/>
              <w:spacing w:line="480" w:lineRule="auto"/>
              <w:ind w:firstLine="0"/>
              <w:jc w:val="center"/>
              <w:rPr>
                <w:rFonts w:eastAsia="PMingLiU"/>
                <w:kern w:val="2"/>
                <w:sz w:val="24"/>
                <w:szCs w:val="22"/>
                <w:lang w:val="en-GB" w:eastAsia="zh-HK"/>
              </w:rPr>
            </w:pPr>
            <w:r w:rsidRPr="00982DC0">
              <w:rPr>
                <w:rFonts w:eastAsia="PMingLiU"/>
                <w:kern w:val="2"/>
                <w:sz w:val="24"/>
                <w:szCs w:val="22"/>
                <w:lang w:val="en-GB" w:eastAsia="zh-HK"/>
              </w:rPr>
              <w:t>Tables</w:t>
            </w:r>
          </w:p>
        </w:tc>
        <w:tc>
          <w:tcPr>
            <w:tcW w:w="1003" w:type="pct"/>
            <w:vAlign w:val="center"/>
          </w:tcPr>
          <w:p w14:paraId="2908AE8D" w14:textId="77777777" w:rsidR="00982DC0" w:rsidRPr="00982DC0" w:rsidRDefault="00982DC0" w:rsidP="000D1EFF">
            <w:pPr>
              <w:pStyle w:val="BodyTextIndent"/>
              <w:spacing w:line="480" w:lineRule="auto"/>
              <w:ind w:firstLine="0"/>
              <w:jc w:val="center"/>
              <w:rPr>
                <w:rFonts w:eastAsia="PMingLiU"/>
                <w:kern w:val="2"/>
                <w:sz w:val="24"/>
                <w:szCs w:val="22"/>
                <w:lang w:val="en-GB" w:eastAsia="zh-HK"/>
              </w:rPr>
            </w:pPr>
            <w:r w:rsidRPr="00982DC0">
              <w:rPr>
                <w:rFonts w:eastAsia="PMingLiU"/>
                <w:kern w:val="2"/>
                <w:sz w:val="24"/>
                <w:szCs w:val="22"/>
                <w:lang w:val="en-GB" w:eastAsia="zh-HK"/>
              </w:rPr>
              <w:t>End</w:t>
            </w:r>
          </w:p>
        </w:tc>
        <w:tc>
          <w:tcPr>
            <w:tcW w:w="1466" w:type="pct"/>
            <w:vAlign w:val="center"/>
          </w:tcPr>
          <w:p w14:paraId="4D1D1C88" w14:textId="77777777" w:rsidR="00982DC0" w:rsidRPr="00982DC0" w:rsidRDefault="00982DC0" w:rsidP="000D1EFF">
            <w:pPr>
              <w:pStyle w:val="BodyTextIndent"/>
              <w:spacing w:line="480" w:lineRule="auto"/>
              <w:ind w:firstLine="0"/>
              <w:jc w:val="center"/>
              <w:rPr>
                <w:rFonts w:eastAsia="PMingLiU"/>
                <w:kern w:val="2"/>
                <w:sz w:val="24"/>
                <w:szCs w:val="22"/>
                <w:lang w:val="en-GB" w:eastAsia="zh-HK"/>
              </w:rPr>
            </w:pPr>
            <w:r w:rsidRPr="00982DC0">
              <w:rPr>
                <w:rFonts w:eastAsia="PMingLiU"/>
                <w:kern w:val="2"/>
                <w:sz w:val="24"/>
                <w:szCs w:val="22"/>
                <w:lang w:val="en-GB" w:eastAsia="zh-HK"/>
              </w:rPr>
              <w:t>Last</w:t>
            </w:r>
          </w:p>
        </w:tc>
        <w:tc>
          <w:tcPr>
            <w:tcW w:w="1268" w:type="pct"/>
            <w:vAlign w:val="center"/>
          </w:tcPr>
          <w:p w14:paraId="70DC67EB" w14:textId="77777777" w:rsidR="00982DC0" w:rsidRPr="00982DC0" w:rsidRDefault="00982DC0" w:rsidP="000D1EFF">
            <w:pPr>
              <w:pStyle w:val="BodyTextIndent"/>
              <w:spacing w:line="480" w:lineRule="auto"/>
              <w:ind w:firstLine="0"/>
              <w:jc w:val="center"/>
              <w:rPr>
                <w:rFonts w:eastAsia="PMingLiU"/>
                <w:kern w:val="2"/>
                <w:sz w:val="24"/>
                <w:szCs w:val="22"/>
                <w:lang w:val="en-GB" w:eastAsia="zh-HK"/>
              </w:rPr>
            </w:pPr>
            <w:r w:rsidRPr="00982DC0">
              <w:rPr>
                <w:rFonts w:eastAsia="PMingLiU"/>
                <w:kern w:val="2"/>
                <w:sz w:val="24"/>
                <w:szCs w:val="22"/>
                <w:lang w:val="en-GB" w:eastAsia="zh-HK"/>
              </w:rPr>
              <w:t>First</w:t>
            </w:r>
          </w:p>
        </w:tc>
      </w:tr>
      <w:tr w:rsidR="00982DC0" w:rsidRPr="00982DC0" w14:paraId="7752E627" w14:textId="77777777" w:rsidTr="00982DC0">
        <w:trPr>
          <w:trHeight w:val="341"/>
        </w:trPr>
        <w:tc>
          <w:tcPr>
            <w:tcW w:w="1263" w:type="pct"/>
            <w:vAlign w:val="center"/>
          </w:tcPr>
          <w:p w14:paraId="4E95D96E" w14:textId="77777777" w:rsidR="00982DC0" w:rsidRPr="00982DC0" w:rsidRDefault="00982DC0" w:rsidP="000D1EFF">
            <w:pPr>
              <w:pStyle w:val="BodyTextIndent"/>
              <w:spacing w:line="480" w:lineRule="auto"/>
              <w:ind w:firstLine="0"/>
              <w:jc w:val="center"/>
              <w:rPr>
                <w:rFonts w:eastAsia="PMingLiU"/>
                <w:kern w:val="2"/>
                <w:sz w:val="24"/>
                <w:szCs w:val="22"/>
                <w:lang w:val="en-GB" w:eastAsia="zh-HK"/>
              </w:rPr>
            </w:pPr>
            <w:r w:rsidRPr="00982DC0">
              <w:rPr>
                <w:rFonts w:eastAsia="PMingLiU"/>
                <w:kern w:val="2"/>
                <w:sz w:val="24"/>
                <w:szCs w:val="22"/>
                <w:lang w:val="en-GB" w:eastAsia="zh-HK"/>
              </w:rPr>
              <w:t>Figures</w:t>
            </w:r>
          </w:p>
        </w:tc>
        <w:tc>
          <w:tcPr>
            <w:tcW w:w="1003" w:type="pct"/>
            <w:vAlign w:val="center"/>
          </w:tcPr>
          <w:p w14:paraId="65C32986" w14:textId="77777777" w:rsidR="00982DC0" w:rsidRPr="00982DC0" w:rsidRDefault="00982DC0" w:rsidP="000D1EFF">
            <w:pPr>
              <w:pStyle w:val="BodyTextIndent"/>
              <w:spacing w:line="480" w:lineRule="auto"/>
              <w:ind w:firstLine="0"/>
              <w:jc w:val="center"/>
              <w:rPr>
                <w:rFonts w:eastAsia="PMingLiU"/>
                <w:kern w:val="2"/>
                <w:sz w:val="24"/>
                <w:szCs w:val="22"/>
                <w:lang w:val="en-GB" w:eastAsia="zh-HK"/>
              </w:rPr>
            </w:pPr>
            <w:r w:rsidRPr="00982DC0">
              <w:rPr>
                <w:rFonts w:eastAsia="PMingLiU"/>
                <w:kern w:val="2"/>
                <w:sz w:val="24"/>
                <w:szCs w:val="22"/>
                <w:lang w:val="en-GB" w:eastAsia="zh-HK"/>
              </w:rPr>
              <w:t>Good</w:t>
            </w:r>
          </w:p>
        </w:tc>
        <w:tc>
          <w:tcPr>
            <w:tcW w:w="1466" w:type="pct"/>
            <w:vAlign w:val="center"/>
          </w:tcPr>
          <w:p w14:paraId="0B1CEE59" w14:textId="77777777" w:rsidR="00982DC0" w:rsidRPr="00982DC0" w:rsidRDefault="00982DC0" w:rsidP="000D1EFF">
            <w:pPr>
              <w:pStyle w:val="BodyTextIndent"/>
              <w:spacing w:line="480" w:lineRule="auto"/>
              <w:ind w:firstLine="0"/>
              <w:jc w:val="center"/>
              <w:rPr>
                <w:rFonts w:eastAsia="PMingLiU"/>
                <w:kern w:val="2"/>
                <w:sz w:val="24"/>
                <w:szCs w:val="22"/>
                <w:lang w:val="en-GB" w:eastAsia="zh-HK"/>
              </w:rPr>
            </w:pPr>
            <w:r w:rsidRPr="00982DC0">
              <w:rPr>
                <w:rFonts w:eastAsia="PMingLiU"/>
                <w:kern w:val="2"/>
                <w:sz w:val="24"/>
                <w:szCs w:val="22"/>
                <w:lang w:val="en-GB" w:eastAsia="zh-HK"/>
              </w:rPr>
              <w:t>Similar</w:t>
            </w:r>
          </w:p>
        </w:tc>
        <w:tc>
          <w:tcPr>
            <w:tcW w:w="1268" w:type="pct"/>
            <w:vAlign w:val="center"/>
          </w:tcPr>
          <w:p w14:paraId="6FF078B0" w14:textId="77777777" w:rsidR="00982DC0" w:rsidRPr="00982DC0" w:rsidRDefault="00982DC0" w:rsidP="000D1EFF">
            <w:pPr>
              <w:pStyle w:val="BodyTextIndent"/>
              <w:spacing w:line="480" w:lineRule="auto"/>
              <w:ind w:firstLine="0"/>
              <w:jc w:val="center"/>
              <w:rPr>
                <w:rFonts w:eastAsia="PMingLiU"/>
                <w:kern w:val="2"/>
                <w:sz w:val="24"/>
                <w:szCs w:val="22"/>
                <w:lang w:val="en-GB" w:eastAsia="zh-HK"/>
              </w:rPr>
            </w:pPr>
            <w:r w:rsidRPr="00982DC0">
              <w:rPr>
                <w:rFonts w:eastAsia="PMingLiU"/>
                <w:kern w:val="2"/>
                <w:sz w:val="24"/>
                <w:szCs w:val="22"/>
                <w:lang w:val="en-GB" w:eastAsia="zh-HK"/>
              </w:rPr>
              <w:t>Very well</w:t>
            </w:r>
          </w:p>
        </w:tc>
      </w:tr>
    </w:tbl>
    <w:p w14:paraId="42546DDD" w14:textId="77777777" w:rsidR="00982DC0" w:rsidRDefault="00982DC0" w:rsidP="000D1EFF">
      <w:pPr>
        <w:spacing w:line="480" w:lineRule="auto"/>
        <w:rPr>
          <w:rFonts w:ascii="Times New Roman" w:hAnsi="Times New Roman"/>
          <w:lang w:val="en-GB" w:eastAsia="zh-HK"/>
        </w:rPr>
      </w:pPr>
    </w:p>
    <w:p w14:paraId="3C078F54" w14:textId="77777777" w:rsidR="004C4C54" w:rsidRPr="00982DC0" w:rsidRDefault="00982DC0" w:rsidP="000D1EFF">
      <w:pPr>
        <w:spacing w:line="480" w:lineRule="auto"/>
        <w:jc w:val="center"/>
        <w:rPr>
          <w:rFonts w:ascii="Times New Roman" w:hAnsi="Times New Roman"/>
          <w:lang w:val="en-GB" w:eastAsia="zh-HK"/>
        </w:rPr>
      </w:pPr>
      <w:r w:rsidRPr="00982DC0">
        <w:rPr>
          <w:rFonts w:ascii="Times New Roman" w:hAnsi="Times New Roman"/>
          <w:lang w:val="en-GB" w:eastAsia="zh-HK"/>
        </w:rPr>
        <w:t>Figure 1</w:t>
      </w:r>
      <w:r>
        <w:rPr>
          <w:rFonts w:ascii="Times New Roman" w:hAnsi="Times New Roman"/>
          <w:lang w:val="en-GB" w:eastAsia="zh-HK"/>
        </w:rPr>
        <w:t xml:space="preserve">. </w:t>
      </w:r>
      <w:r w:rsidRPr="00982DC0">
        <w:rPr>
          <w:rFonts w:ascii="Times New Roman" w:hAnsi="Times New Roman"/>
          <w:lang w:val="en-GB" w:eastAsia="zh-HK"/>
        </w:rPr>
        <w:t>Insert captio</w:t>
      </w:r>
      <w:r>
        <w:rPr>
          <w:rFonts w:ascii="Times New Roman" w:hAnsi="Times New Roman"/>
          <w:lang w:val="en-GB" w:eastAsia="zh-HK"/>
        </w:rPr>
        <w:t>n to place caption below figure</w:t>
      </w:r>
    </w:p>
    <w:p w14:paraId="09124D68" w14:textId="2F045C4E" w:rsidR="0098746E" w:rsidRPr="000A34ED" w:rsidRDefault="00E53A53" w:rsidP="000D1EFF">
      <w:pPr>
        <w:spacing w:line="480" w:lineRule="auto"/>
        <w:jc w:val="center"/>
        <w:rPr>
          <w:rFonts w:ascii="Times New Roman" w:hAnsi="Times New Roman"/>
          <w:lang w:val="en-GB" w:eastAsia="zh-HK"/>
        </w:rPr>
      </w:pPr>
      <w:r>
        <w:rPr>
          <w:noProof/>
        </w:rPr>
        <w:drawing>
          <wp:inline distT="0" distB="0" distL="0" distR="0" wp14:anchorId="7810C47A" wp14:editId="5AC806A5">
            <wp:extent cx="5486400" cy="108231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082317"/>
                    </a:xfrm>
                    <a:prstGeom prst="rect">
                      <a:avLst/>
                    </a:prstGeom>
                    <a:noFill/>
                    <a:ln>
                      <a:noFill/>
                    </a:ln>
                  </pic:spPr>
                </pic:pic>
              </a:graphicData>
            </a:graphic>
          </wp:inline>
        </w:drawing>
      </w:r>
    </w:p>
    <w:p w14:paraId="1E3031A0" w14:textId="77777777" w:rsidR="00982DC0" w:rsidRPr="000D1EFF" w:rsidRDefault="00982DC0" w:rsidP="000D1EFF">
      <w:pPr>
        <w:spacing w:line="480" w:lineRule="auto"/>
        <w:rPr>
          <w:sz w:val="22"/>
        </w:rPr>
      </w:pPr>
      <w:r w:rsidRPr="000D1EFF">
        <w:rPr>
          <w:rFonts w:ascii="Times New Roman" w:hAnsi="Times New Roman"/>
          <w:b/>
          <w:szCs w:val="28"/>
        </w:rPr>
        <w:t>3. Acknowledgments</w:t>
      </w:r>
    </w:p>
    <w:p w14:paraId="39EC8C5C" w14:textId="77777777" w:rsidR="00AE31D5" w:rsidRDefault="00982DC0" w:rsidP="000D1EFF">
      <w:pPr>
        <w:spacing w:line="480" w:lineRule="auto"/>
        <w:rPr>
          <w:rFonts w:ascii="Times New Roman" w:hAnsi="Times New Roman"/>
          <w:lang w:val="en-GB" w:eastAsia="zh-HK"/>
        </w:rPr>
      </w:pPr>
      <w:r w:rsidRPr="00982DC0">
        <w:rPr>
          <w:rFonts w:ascii="Times New Roman" w:hAnsi="Times New Roman"/>
          <w:lang w:val="en-GB" w:eastAsia="zh-HK"/>
        </w:rPr>
        <w:t xml:space="preserve">Our thanks to </w:t>
      </w:r>
      <w:r>
        <w:rPr>
          <w:rFonts w:ascii="Times New Roman" w:hAnsi="Times New Roman"/>
          <w:lang w:val="en-GB" w:eastAsia="zh-HK"/>
        </w:rPr>
        <w:t>individuals and organizations.</w:t>
      </w:r>
    </w:p>
    <w:p w14:paraId="42D178F8" w14:textId="77777777" w:rsidR="000D1EFF" w:rsidRPr="000D1EFF" w:rsidRDefault="000D1EFF" w:rsidP="000D1EFF">
      <w:pPr>
        <w:spacing w:line="480" w:lineRule="auto"/>
        <w:rPr>
          <w:rFonts w:ascii="Times New Roman" w:hAnsi="Times New Roman"/>
          <w:lang w:val="en-GB" w:eastAsia="zh-HK"/>
        </w:rPr>
      </w:pPr>
    </w:p>
    <w:p w14:paraId="791A89DF" w14:textId="77777777" w:rsidR="0098746E" w:rsidRDefault="0098746E" w:rsidP="000D1EFF">
      <w:pPr>
        <w:snapToGrid w:val="0"/>
        <w:spacing w:line="480" w:lineRule="auto"/>
        <w:ind w:firstLineChars="200" w:firstLine="482"/>
        <w:jc w:val="center"/>
        <w:rPr>
          <w:rFonts w:ascii="Times New Roman" w:eastAsia="SimSun" w:hAnsi="Times New Roman"/>
          <w:b/>
          <w:szCs w:val="24"/>
        </w:rPr>
      </w:pPr>
      <w:r w:rsidRPr="00982DC0">
        <w:rPr>
          <w:rFonts w:ascii="Times New Roman" w:eastAsia="SimSun" w:hAnsi="Times New Roman"/>
          <w:b/>
          <w:szCs w:val="24"/>
        </w:rPr>
        <w:t>References</w:t>
      </w:r>
      <w:r w:rsidR="00AE31D5">
        <w:rPr>
          <w:rFonts w:ascii="Times New Roman" w:eastAsia="SimSun" w:hAnsi="Times New Roman"/>
          <w:b/>
          <w:szCs w:val="24"/>
        </w:rPr>
        <w:t xml:space="preserve"> </w:t>
      </w:r>
      <w:r w:rsidR="00AE31D5" w:rsidRPr="00AE31D5">
        <w:rPr>
          <w:rFonts w:ascii="Times New Roman" w:hAnsi="Times New Roman"/>
          <w:b/>
          <w:szCs w:val="24"/>
          <w:lang w:eastAsia="zh-HK"/>
        </w:rPr>
        <w:t>(</w:t>
      </w:r>
      <w:r w:rsidR="00AE31D5" w:rsidRPr="00AE31D5">
        <w:rPr>
          <w:rFonts w:ascii="Times New Roman" w:hAnsi="Times New Roman" w:hint="eastAsia"/>
          <w:b/>
          <w:szCs w:val="24"/>
          <w:lang w:eastAsia="zh-HK"/>
        </w:rPr>
        <w:t>Times New Roman 12 points</w:t>
      </w:r>
      <w:r w:rsidR="00AE31D5">
        <w:rPr>
          <w:rFonts w:ascii="Times New Roman" w:hAnsi="Times New Roman"/>
          <w:b/>
          <w:szCs w:val="24"/>
          <w:lang w:eastAsia="zh-HK"/>
        </w:rPr>
        <w:t xml:space="preserve">, </w:t>
      </w:r>
      <w:r w:rsidR="00AE31D5" w:rsidRPr="00AE31D5">
        <w:rPr>
          <w:rFonts w:ascii="Times New Roman" w:hAnsi="Times New Roman"/>
          <w:b/>
          <w:szCs w:val="24"/>
          <w:lang w:eastAsia="zh-HK"/>
        </w:rPr>
        <w:t>bold,</w:t>
      </w:r>
      <w:r w:rsidR="00AE31D5" w:rsidRPr="00AE31D5">
        <w:rPr>
          <w:rFonts w:ascii="Times New Roman" w:hAnsi="Times New Roman" w:hint="eastAsia"/>
          <w:b/>
          <w:szCs w:val="24"/>
          <w:lang w:eastAsia="zh-HK"/>
        </w:rPr>
        <w:t xml:space="preserve"> centered)</w:t>
      </w:r>
    </w:p>
    <w:p w14:paraId="0A2830AB" w14:textId="77777777" w:rsidR="0088460B" w:rsidRDefault="00E07BB2" w:rsidP="0088460B">
      <w:pPr>
        <w:pStyle w:val="Reference"/>
        <w:numPr>
          <w:ilvl w:val="0"/>
          <w:numId w:val="3"/>
        </w:numPr>
        <w:spacing w:line="480" w:lineRule="auto"/>
        <w:jc w:val="both"/>
        <w:rPr>
          <w:rFonts w:eastAsia="MS Mincho"/>
          <w:sz w:val="24"/>
        </w:rPr>
      </w:pPr>
      <w:r w:rsidRPr="00E07BB2">
        <w:rPr>
          <w:rFonts w:eastAsia="MS Mincho"/>
          <w:sz w:val="24"/>
        </w:rPr>
        <w:t xml:space="preserve">Arrami, M. &amp; Garner, H. (2008) A tale of two citations. </w:t>
      </w:r>
      <w:r w:rsidRPr="0088460B">
        <w:rPr>
          <w:rFonts w:eastAsia="MS Mincho"/>
          <w:i/>
          <w:sz w:val="24"/>
        </w:rPr>
        <w:t>Nature</w:t>
      </w:r>
      <w:r w:rsidRPr="00E07BB2">
        <w:rPr>
          <w:rFonts w:eastAsia="MS Mincho"/>
          <w:sz w:val="24"/>
        </w:rPr>
        <w:t>. 451 (7177), 397–399.</w:t>
      </w:r>
    </w:p>
    <w:p w14:paraId="42DFBEF4" w14:textId="77777777" w:rsidR="0088460B" w:rsidRDefault="00E07BB2" w:rsidP="0088460B">
      <w:pPr>
        <w:pStyle w:val="Reference"/>
        <w:numPr>
          <w:ilvl w:val="0"/>
          <w:numId w:val="3"/>
        </w:numPr>
        <w:spacing w:line="480" w:lineRule="auto"/>
        <w:jc w:val="both"/>
        <w:rPr>
          <w:rFonts w:eastAsia="MS Mincho"/>
          <w:sz w:val="24"/>
        </w:rPr>
      </w:pPr>
      <w:r w:rsidRPr="0088460B">
        <w:rPr>
          <w:rFonts w:eastAsia="MS Mincho"/>
          <w:sz w:val="24"/>
        </w:rPr>
        <w:t>Barros, B., Read, T. &amp; Verdejo, M. F. (2008) Virtual collaborative experimentation: an appr</w:t>
      </w:r>
      <w:r w:rsidR="0088460B" w:rsidRPr="0088460B">
        <w:rPr>
          <w:rFonts w:eastAsia="MS Mincho"/>
          <w:sz w:val="24"/>
        </w:rPr>
        <w:t>oach</w:t>
      </w:r>
      <w:r w:rsidR="0088460B" w:rsidRPr="0088460B">
        <w:rPr>
          <w:rFonts w:eastAsiaTheme="minorEastAsia" w:hint="eastAsia"/>
          <w:sz w:val="24"/>
          <w:lang w:eastAsia="zh-CN"/>
        </w:rPr>
        <w:t xml:space="preserve"> </w:t>
      </w:r>
      <w:r w:rsidRPr="0088460B">
        <w:rPr>
          <w:rFonts w:eastAsia="MS Mincho"/>
          <w:sz w:val="24"/>
        </w:rPr>
        <w:t xml:space="preserve">combining remote and local labs. </w:t>
      </w:r>
      <w:r w:rsidRPr="0088460B">
        <w:rPr>
          <w:rFonts w:eastAsia="MS Mincho"/>
          <w:i/>
          <w:sz w:val="24"/>
        </w:rPr>
        <w:t>IEEE Transactions on Education</w:t>
      </w:r>
      <w:r w:rsidRPr="0088460B">
        <w:rPr>
          <w:rFonts w:eastAsia="MS Mincho"/>
          <w:sz w:val="24"/>
        </w:rPr>
        <w:t xml:space="preserve">. 51 (2), 242–250. </w:t>
      </w:r>
    </w:p>
    <w:p w14:paraId="1CAD5E46" w14:textId="77777777" w:rsidR="00E07BB2" w:rsidRPr="0088460B" w:rsidRDefault="00E07BB2" w:rsidP="0088460B">
      <w:pPr>
        <w:pStyle w:val="Reference"/>
        <w:numPr>
          <w:ilvl w:val="0"/>
          <w:numId w:val="3"/>
        </w:numPr>
        <w:spacing w:line="480" w:lineRule="auto"/>
        <w:jc w:val="both"/>
        <w:rPr>
          <w:rFonts w:eastAsia="MS Mincho"/>
          <w:sz w:val="24"/>
        </w:rPr>
      </w:pPr>
      <w:r w:rsidRPr="0088460B">
        <w:rPr>
          <w:rFonts w:eastAsia="MS Mincho"/>
          <w:sz w:val="24"/>
        </w:rPr>
        <w:t xml:space="preserve">Department of Health. (2009) </w:t>
      </w:r>
      <w:r w:rsidRPr="0088460B">
        <w:rPr>
          <w:rFonts w:eastAsia="MS Mincho"/>
          <w:i/>
          <w:sz w:val="24"/>
        </w:rPr>
        <w:t>Living well with dementia: a national dementia strategy</w:t>
      </w:r>
      <w:r w:rsidRPr="0088460B">
        <w:rPr>
          <w:rFonts w:eastAsia="MS Mincho"/>
          <w:sz w:val="24"/>
        </w:rPr>
        <w:t>. Available</w:t>
      </w:r>
      <w:r w:rsidR="0088460B">
        <w:rPr>
          <w:rFonts w:eastAsia="MS Mincho"/>
          <w:sz w:val="24"/>
        </w:rPr>
        <w:t xml:space="preserve"> </w:t>
      </w:r>
      <w:r w:rsidRPr="0088460B">
        <w:rPr>
          <w:rFonts w:eastAsia="MS Mincho"/>
          <w:sz w:val="24"/>
        </w:rPr>
        <w:t xml:space="preserve">from: </w:t>
      </w:r>
      <w:hyperlink r:id="rId9" w:history="1">
        <w:r w:rsidR="0088460B" w:rsidRPr="00140F0D">
          <w:rPr>
            <w:rStyle w:val="Hyperlink"/>
            <w:rFonts w:eastAsia="MS Mincho"/>
            <w:sz w:val="24"/>
          </w:rPr>
          <w:t>www.gov.uk/government/publications/living-well-with-dementia-a-national-dementiastrategy</w:t>
        </w:r>
      </w:hyperlink>
      <w:r w:rsidR="0088460B">
        <w:rPr>
          <w:rFonts w:eastAsiaTheme="minorEastAsia" w:hint="eastAsia"/>
          <w:sz w:val="24"/>
          <w:lang w:eastAsia="zh-CN"/>
        </w:rPr>
        <w:t xml:space="preserve"> </w:t>
      </w:r>
      <w:r w:rsidRPr="0088460B">
        <w:rPr>
          <w:rFonts w:eastAsia="MS Mincho"/>
          <w:sz w:val="24"/>
        </w:rPr>
        <w:t>[Accessed 4th June 2015].</w:t>
      </w:r>
    </w:p>
    <w:p w14:paraId="42066FC8" w14:textId="77777777" w:rsidR="0088460B" w:rsidRDefault="00E07BB2" w:rsidP="0088460B">
      <w:pPr>
        <w:pStyle w:val="Reference"/>
        <w:numPr>
          <w:ilvl w:val="0"/>
          <w:numId w:val="3"/>
        </w:numPr>
        <w:spacing w:line="480" w:lineRule="auto"/>
        <w:jc w:val="both"/>
        <w:rPr>
          <w:rFonts w:eastAsia="MS Mincho"/>
          <w:sz w:val="24"/>
        </w:rPr>
      </w:pPr>
      <w:r w:rsidRPr="00E07BB2">
        <w:rPr>
          <w:rFonts w:eastAsia="MS Mincho"/>
          <w:sz w:val="24"/>
        </w:rPr>
        <w:t xml:space="preserve">Goldacre, B. (2008a) Dore – the media’s miracle cure for dyslexia. </w:t>
      </w:r>
      <w:r w:rsidRPr="0088460B">
        <w:rPr>
          <w:rFonts w:eastAsia="MS Mincho"/>
          <w:i/>
          <w:sz w:val="24"/>
        </w:rPr>
        <w:t>Bad Science</w:t>
      </w:r>
      <w:r w:rsidRPr="00E07BB2">
        <w:rPr>
          <w:rFonts w:eastAsia="MS Mincho"/>
          <w:sz w:val="24"/>
        </w:rPr>
        <w:t>. Weblog.</w:t>
      </w:r>
    </w:p>
    <w:p w14:paraId="0BFB2905" w14:textId="77777777" w:rsidR="00E07BB2" w:rsidRPr="00E07BB2" w:rsidRDefault="00E07BB2" w:rsidP="0088460B">
      <w:pPr>
        <w:pStyle w:val="Reference"/>
        <w:spacing w:line="480" w:lineRule="auto"/>
        <w:ind w:left="420" w:firstLine="0"/>
        <w:jc w:val="both"/>
        <w:rPr>
          <w:rFonts w:eastAsia="MS Mincho"/>
          <w:sz w:val="24"/>
        </w:rPr>
      </w:pPr>
      <w:r w:rsidRPr="0088460B">
        <w:rPr>
          <w:rFonts w:eastAsia="MS Mincho"/>
          <w:sz w:val="24"/>
        </w:rPr>
        <w:t xml:space="preserve">Available from: </w:t>
      </w:r>
      <w:hyperlink r:id="rId10" w:anchor="more-705" w:history="1">
        <w:r w:rsidR="0088460B" w:rsidRPr="00140F0D">
          <w:rPr>
            <w:rStyle w:val="Hyperlink"/>
            <w:rFonts w:eastAsia="MS Mincho"/>
            <w:sz w:val="24"/>
          </w:rPr>
          <w:t>http://www.badscience.net/2008/05/dore-the-medias-miracle-cure-fordyslexia/#more-705</w:t>
        </w:r>
      </w:hyperlink>
      <w:r w:rsidR="0088460B">
        <w:rPr>
          <w:rFonts w:eastAsiaTheme="minorEastAsia" w:hint="eastAsia"/>
          <w:sz w:val="24"/>
          <w:lang w:eastAsia="zh-CN"/>
        </w:rPr>
        <w:t xml:space="preserve"> </w:t>
      </w:r>
      <w:r w:rsidRPr="00E07BB2">
        <w:rPr>
          <w:rFonts w:eastAsia="MS Mincho"/>
          <w:sz w:val="24"/>
        </w:rPr>
        <w:t>[Accessed 19th June 2015].</w:t>
      </w:r>
    </w:p>
    <w:p w14:paraId="3D6164BB" w14:textId="77777777" w:rsidR="00E07BB2" w:rsidRPr="0088460B" w:rsidRDefault="00E07BB2" w:rsidP="0088460B">
      <w:pPr>
        <w:pStyle w:val="Reference"/>
        <w:numPr>
          <w:ilvl w:val="0"/>
          <w:numId w:val="3"/>
        </w:numPr>
        <w:spacing w:line="480" w:lineRule="auto"/>
        <w:jc w:val="both"/>
        <w:rPr>
          <w:rFonts w:eastAsia="MS Mincho"/>
          <w:sz w:val="24"/>
        </w:rPr>
      </w:pPr>
      <w:r w:rsidRPr="00E07BB2">
        <w:rPr>
          <w:rFonts w:eastAsia="MS Mincho"/>
          <w:sz w:val="24"/>
        </w:rPr>
        <w:t xml:space="preserve">Henderson, J. (2005) Google Scholar: A source for clinicians? </w:t>
      </w:r>
      <w:r w:rsidRPr="0088460B">
        <w:rPr>
          <w:rFonts w:eastAsia="MS Mincho"/>
          <w:i/>
          <w:sz w:val="24"/>
        </w:rPr>
        <w:t>Canadian Medical Association</w:t>
      </w:r>
      <w:r w:rsidR="0088460B" w:rsidRPr="0088460B">
        <w:rPr>
          <w:rFonts w:eastAsiaTheme="minorEastAsia" w:hint="eastAsia"/>
          <w:i/>
          <w:sz w:val="24"/>
          <w:lang w:eastAsia="zh-CN"/>
        </w:rPr>
        <w:t xml:space="preserve"> </w:t>
      </w:r>
      <w:r w:rsidRPr="0088460B">
        <w:rPr>
          <w:rFonts w:eastAsia="MS Mincho"/>
          <w:i/>
          <w:sz w:val="24"/>
        </w:rPr>
        <w:t>Journal</w:t>
      </w:r>
      <w:r w:rsidRPr="0088460B">
        <w:rPr>
          <w:rFonts w:eastAsia="MS Mincho"/>
          <w:sz w:val="24"/>
        </w:rPr>
        <w:t>. 172 (12), 1549–1550.</w:t>
      </w:r>
    </w:p>
    <w:p w14:paraId="5C623173" w14:textId="77777777" w:rsidR="00E07BB2" w:rsidRPr="0088460B" w:rsidRDefault="00E07BB2" w:rsidP="0088460B">
      <w:pPr>
        <w:pStyle w:val="Reference"/>
        <w:numPr>
          <w:ilvl w:val="0"/>
          <w:numId w:val="3"/>
        </w:numPr>
        <w:spacing w:line="480" w:lineRule="auto"/>
        <w:jc w:val="both"/>
        <w:rPr>
          <w:rFonts w:eastAsia="MS Mincho"/>
          <w:sz w:val="24"/>
        </w:rPr>
      </w:pPr>
      <w:r w:rsidRPr="00E07BB2">
        <w:rPr>
          <w:rFonts w:eastAsia="MS Mincho"/>
          <w:sz w:val="24"/>
        </w:rPr>
        <w:t>Holding, M. Y., Saulino, M. F., Overton, E. A., Kornbluth, I. D. &amp; Freedman, M. K. (2008)</w:t>
      </w:r>
      <w:r w:rsidR="0088460B">
        <w:rPr>
          <w:rFonts w:eastAsiaTheme="minorEastAsia" w:hint="eastAsia"/>
          <w:sz w:val="24"/>
          <w:lang w:eastAsia="zh-CN"/>
        </w:rPr>
        <w:t xml:space="preserve"> </w:t>
      </w:r>
      <w:r w:rsidRPr="0088460B">
        <w:rPr>
          <w:rFonts w:eastAsia="MS Mincho"/>
          <w:sz w:val="24"/>
        </w:rPr>
        <w:t>Interventions in Chronic Pain Management. 1. Update on Important Definitions in Pain</w:t>
      </w:r>
      <w:r w:rsidR="0088460B">
        <w:rPr>
          <w:rFonts w:eastAsiaTheme="minorEastAsia" w:hint="eastAsia"/>
          <w:sz w:val="24"/>
          <w:lang w:eastAsia="zh-CN"/>
        </w:rPr>
        <w:t xml:space="preserve"> </w:t>
      </w:r>
      <w:r w:rsidRPr="0088460B">
        <w:rPr>
          <w:rFonts w:eastAsia="MS Mincho"/>
          <w:sz w:val="24"/>
        </w:rPr>
        <w:t xml:space="preserve">Management. </w:t>
      </w:r>
      <w:r w:rsidRPr="0088460B">
        <w:rPr>
          <w:rFonts w:eastAsia="MS Mincho"/>
          <w:i/>
          <w:sz w:val="24"/>
        </w:rPr>
        <w:t>Archives of Physical Medicine and Rehabilitation</w:t>
      </w:r>
      <w:r w:rsidRPr="0088460B">
        <w:rPr>
          <w:rFonts w:eastAsia="MS Mincho"/>
          <w:sz w:val="24"/>
        </w:rPr>
        <w:t>, 89 (3, Supplement 1), S38–S40.</w:t>
      </w:r>
    </w:p>
    <w:p w14:paraId="3E0FE89C" w14:textId="77777777" w:rsidR="00E07BB2" w:rsidRPr="0088460B" w:rsidRDefault="00E07BB2" w:rsidP="0088460B">
      <w:pPr>
        <w:pStyle w:val="Reference"/>
        <w:numPr>
          <w:ilvl w:val="0"/>
          <w:numId w:val="3"/>
        </w:numPr>
        <w:spacing w:line="480" w:lineRule="auto"/>
        <w:jc w:val="both"/>
        <w:rPr>
          <w:rFonts w:eastAsia="MS Mincho"/>
          <w:sz w:val="24"/>
        </w:rPr>
      </w:pPr>
      <w:r w:rsidRPr="00E07BB2">
        <w:rPr>
          <w:rFonts w:eastAsia="MS Mincho"/>
          <w:sz w:val="24"/>
        </w:rPr>
        <w:t xml:space="preserve">Pears, R. &amp; Shields, G. (2008) </w:t>
      </w:r>
      <w:r w:rsidRPr="0088460B">
        <w:rPr>
          <w:rFonts w:eastAsia="MS Mincho"/>
          <w:i/>
          <w:sz w:val="24"/>
        </w:rPr>
        <w:t>Cite them right: the essential referencing guide</w:t>
      </w:r>
      <w:r w:rsidRPr="00E07BB2">
        <w:rPr>
          <w:rFonts w:eastAsia="MS Mincho"/>
          <w:sz w:val="24"/>
        </w:rPr>
        <w:t>. 3rd ed.</w:t>
      </w:r>
      <w:r w:rsidR="0088460B">
        <w:rPr>
          <w:rFonts w:eastAsiaTheme="minorEastAsia" w:hint="eastAsia"/>
          <w:sz w:val="24"/>
          <w:lang w:eastAsia="zh-CN"/>
        </w:rPr>
        <w:t xml:space="preserve"> </w:t>
      </w:r>
      <w:r w:rsidRPr="0088460B">
        <w:rPr>
          <w:rFonts w:eastAsia="MS Mincho"/>
          <w:sz w:val="24"/>
        </w:rPr>
        <w:t>Durham, Pear Tree Books.</w:t>
      </w:r>
    </w:p>
    <w:p w14:paraId="035B8EBA" w14:textId="77777777" w:rsidR="0088460B" w:rsidRDefault="00E07BB2" w:rsidP="0088460B">
      <w:pPr>
        <w:pStyle w:val="Reference"/>
        <w:numPr>
          <w:ilvl w:val="0"/>
          <w:numId w:val="3"/>
        </w:numPr>
        <w:spacing w:line="480" w:lineRule="auto"/>
        <w:jc w:val="both"/>
        <w:rPr>
          <w:rFonts w:eastAsia="MS Mincho"/>
          <w:sz w:val="24"/>
        </w:rPr>
      </w:pPr>
      <w:r w:rsidRPr="00E07BB2">
        <w:rPr>
          <w:rFonts w:eastAsia="MS Mincho"/>
          <w:sz w:val="24"/>
        </w:rPr>
        <w:t>Ramalho, R., Helffrich, G., Schmidt, D.N. &amp; Vance, D. (2010) Tracers of uplift and subsidence in</w:t>
      </w:r>
      <w:r w:rsidR="0088460B">
        <w:rPr>
          <w:rFonts w:eastAsiaTheme="minorEastAsia" w:hint="eastAsia"/>
          <w:sz w:val="24"/>
          <w:lang w:eastAsia="zh-CN"/>
        </w:rPr>
        <w:t xml:space="preserve"> </w:t>
      </w:r>
      <w:r w:rsidRPr="0088460B">
        <w:rPr>
          <w:rFonts w:eastAsia="MS Mincho"/>
          <w:sz w:val="24"/>
        </w:rPr>
        <w:t xml:space="preserve">the Cape Verde archipelago. </w:t>
      </w:r>
      <w:r w:rsidRPr="0088460B">
        <w:rPr>
          <w:rFonts w:eastAsia="MS Mincho"/>
          <w:i/>
          <w:sz w:val="24"/>
        </w:rPr>
        <w:t>Journal of the Geological Society</w:t>
      </w:r>
      <w:r w:rsidRPr="0088460B">
        <w:rPr>
          <w:rFonts w:eastAsia="MS Mincho"/>
          <w:sz w:val="24"/>
        </w:rPr>
        <w:t xml:space="preserve">. 167 (3), 519–538. </w:t>
      </w:r>
    </w:p>
    <w:p w14:paraId="6A7F382E" w14:textId="77777777" w:rsidR="0088460B" w:rsidRDefault="00E07BB2" w:rsidP="0088460B">
      <w:pPr>
        <w:pStyle w:val="Reference"/>
        <w:numPr>
          <w:ilvl w:val="0"/>
          <w:numId w:val="3"/>
        </w:numPr>
        <w:spacing w:line="480" w:lineRule="auto"/>
        <w:jc w:val="both"/>
        <w:rPr>
          <w:rFonts w:eastAsia="MS Mincho"/>
          <w:sz w:val="24"/>
        </w:rPr>
      </w:pPr>
      <w:r w:rsidRPr="00E07BB2">
        <w:rPr>
          <w:rFonts w:eastAsia="MS Mincho"/>
          <w:sz w:val="24"/>
        </w:rPr>
        <w:t xml:space="preserve">Simons, N. E., Menzies, B. &amp; Matthews, M. (2001) </w:t>
      </w:r>
      <w:r w:rsidRPr="0088460B">
        <w:rPr>
          <w:rFonts w:eastAsia="MS Mincho"/>
          <w:i/>
          <w:sz w:val="24"/>
        </w:rPr>
        <w:t>A Short Course in Soil and Rock Slope</w:t>
      </w:r>
      <w:r w:rsidR="0088460B" w:rsidRPr="0088460B">
        <w:rPr>
          <w:rFonts w:eastAsiaTheme="minorEastAsia" w:hint="eastAsia"/>
          <w:i/>
          <w:sz w:val="24"/>
          <w:lang w:eastAsia="zh-CN"/>
        </w:rPr>
        <w:t xml:space="preserve"> </w:t>
      </w:r>
      <w:r w:rsidRPr="0088460B">
        <w:rPr>
          <w:rFonts w:eastAsia="MS Mincho"/>
          <w:i/>
          <w:sz w:val="24"/>
        </w:rPr>
        <w:t>Engineering</w:t>
      </w:r>
      <w:r w:rsidRPr="0088460B">
        <w:rPr>
          <w:rFonts w:eastAsia="MS Mincho"/>
          <w:sz w:val="24"/>
        </w:rPr>
        <w:t xml:space="preserve">. London, Thomas Telford Publishing. </w:t>
      </w:r>
    </w:p>
    <w:p w14:paraId="2D9B28E9" w14:textId="77777777" w:rsidR="00E07BB2" w:rsidRPr="0088460B" w:rsidRDefault="00E07BB2" w:rsidP="0088460B">
      <w:pPr>
        <w:pStyle w:val="Reference"/>
        <w:spacing w:line="480" w:lineRule="auto"/>
        <w:ind w:left="420" w:firstLine="0"/>
        <w:jc w:val="both"/>
        <w:rPr>
          <w:rFonts w:eastAsia="MS Mincho"/>
          <w:sz w:val="24"/>
        </w:rPr>
      </w:pPr>
      <w:r w:rsidRPr="0088460B">
        <w:rPr>
          <w:rFonts w:eastAsia="MS Mincho"/>
          <w:sz w:val="24"/>
        </w:rPr>
        <w:t xml:space="preserve">Available from: </w:t>
      </w:r>
      <w:hyperlink r:id="rId11" w:history="1">
        <w:r w:rsidR="0088460B" w:rsidRPr="00140F0D">
          <w:rPr>
            <w:rStyle w:val="Hyperlink"/>
            <w:rFonts w:eastAsia="MS Mincho"/>
            <w:sz w:val="24"/>
          </w:rPr>
          <w:t>http://www.myilibrary.com?ID=93941</w:t>
        </w:r>
      </w:hyperlink>
      <w:r w:rsidR="0088460B">
        <w:rPr>
          <w:rFonts w:eastAsia="MS Mincho"/>
          <w:sz w:val="24"/>
        </w:rPr>
        <w:t xml:space="preserve"> </w:t>
      </w:r>
      <w:r w:rsidRPr="0088460B">
        <w:rPr>
          <w:rFonts w:eastAsia="MS Mincho"/>
          <w:sz w:val="24"/>
        </w:rPr>
        <w:t>[Accessed 18th June 2015].</w:t>
      </w:r>
    </w:p>
    <w:p w14:paraId="347D3136" w14:textId="77777777" w:rsidR="00E07BB2" w:rsidRPr="0088460B" w:rsidRDefault="00E07BB2" w:rsidP="0088460B">
      <w:pPr>
        <w:pStyle w:val="Reference"/>
        <w:numPr>
          <w:ilvl w:val="0"/>
          <w:numId w:val="3"/>
        </w:numPr>
        <w:spacing w:line="480" w:lineRule="auto"/>
        <w:jc w:val="both"/>
        <w:rPr>
          <w:rFonts w:eastAsia="MS Mincho"/>
          <w:sz w:val="24"/>
        </w:rPr>
      </w:pPr>
      <w:r w:rsidRPr="00E07BB2">
        <w:rPr>
          <w:rFonts w:eastAsia="MS Mincho"/>
          <w:sz w:val="24"/>
        </w:rPr>
        <w:t xml:space="preserve">Smith, A. (2004) </w:t>
      </w:r>
      <w:r w:rsidRPr="0088460B">
        <w:rPr>
          <w:rFonts w:eastAsia="MS Mincho"/>
          <w:i/>
          <w:sz w:val="24"/>
        </w:rPr>
        <w:t>Making mathematics count: the report of Professor Adrian Smith’s inquiry</w:t>
      </w:r>
      <w:r w:rsidR="0088460B" w:rsidRPr="0088460B">
        <w:rPr>
          <w:rFonts w:eastAsiaTheme="minorEastAsia" w:hint="eastAsia"/>
          <w:i/>
          <w:sz w:val="24"/>
          <w:lang w:eastAsia="zh-CN"/>
        </w:rPr>
        <w:t xml:space="preserve"> </w:t>
      </w:r>
      <w:r w:rsidRPr="0088460B">
        <w:rPr>
          <w:rFonts w:eastAsia="MS Mincho"/>
          <w:i/>
          <w:sz w:val="24"/>
        </w:rPr>
        <w:t>into post-14 mathematics education</w:t>
      </w:r>
      <w:r w:rsidRPr="0088460B">
        <w:rPr>
          <w:rFonts w:eastAsia="MS Mincho"/>
          <w:sz w:val="24"/>
        </w:rPr>
        <w:t>. London, The Stationery Office.</w:t>
      </w:r>
    </w:p>
    <w:p w14:paraId="41D5B1CB" w14:textId="77777777" w:rsidR="00E07BB2" w:rsidRDefault="00E07BB2" w:rsidP="006C7E0B">
      <w:pPr>
        <w:pStyle w:val="Reference"/>
        <w:numPr>
          <w:ilvl w:val="0"/>
          <w:numId w:val="3"/>
        </w:numPr>
        <w:spacing w:line="480" w:lineRule="auto"/>
        <w:jc w:val="both"/>
        <w:rPr>
          <w:rFonts w:eastAsia="MS Mincho"/>
          <w:sz w:val="24"/>
        </w:rPr>
      </w:pPr>
      <w:r w:rsidRPr="00E07BB2">
        <w:rPr>
          <w:rFonts w:eastAsia="MS Mincho"/>
          <w:sz w:val="24"/>
        </w:rPr>
        <w:t>Van Alphen, K., Voorst, Q. V. T., Kekkert, M. P. &amp; Smits, R.E.H.M. (2007) Societal acceptance</w:t>
      </w:r>
      <w:r w:rsidR="0088460B">
        <w:rPr>
          <w:rFonts w:eastAsia="MS Mincho"/>
          <w:sz w:val="24"/>
        </w:rPr>
        <w:t xml:space="preserve"> </w:t>
      </w:r>
      <w:r w:rsidRPr="0088460B">
        <w:rPr>
          <w:rFonts w:eastAsia="MS Mincho"/>
          <w:sz w:val="24"/>
        </w:rPr>
        <w:t xml:space="preserve">of carbon capture and storage technologies. </w:t>
      </w:r>
      <w:r w:rsidRPr="0088460B">
        <w:rPr>
          <w:rFonts w:eastAsia="MS Mincho"/>
          <w:i/>
          <w:sz w:val="24"/>
        </w:rPr>
        <w:t>Energy Policy</w:t>
      </w:r>
      <w:r w:rsidRPr="0088460B">
        <w:rPr>
          <w:rFonts w:eastAsia="MS Mincho"/>
          <w:sz w:val="24"/>
        </w:rPr>
        <w:t>. 35 (8), 4368–4380.</w:t>
      </w:r>
    </w:p>
    <w:p w14:paraId="3E129608" w14:textId="77777777" w:rsidR="006C7E0B" w:rsidRDefault="006C7E0B" w:rsidP="006C7E0B">
      <w:pPr>
        <w:pStyle w:val="Reference"/>
        <w:spacing w:line="480" w:lineRule="auto"/>
        <w:ind w:left="0" w:firstLine="0"/>
        <w:jc w:val="both"/>
        <w:rPr>
          <w:rFonts w:eastAsia="MS Mincho"/>
          <w:sz w:val="24"/>
        </w:rPr>
      </w:pPr>
    </w:p>
    <w:p w14:paraId="6A129036" w14:textId="77777777" w:rsidR="006C7E0B" w:rsidRDefault="006C7E0B" w:rsidP="006C7E0B">
      <w:pPr>
        <w:snapToGrid w:val="0"/>
        <w:spacing w:line="480" w:lineRule="auto"/>
        <w:ind w:firstLineChars="200" w:firstLine="482"/>
        <w:jc w:val="center"/>
        <w:rPr>
          <w:rFonts w:ascii="Times New Roman" w:hAnsi="Times New Roman"/>
          <w:b/>
          <w:szCs w:val="24"/>
          <w:lang w:eastAsia="zh-HK"/>
        </w:rPr>
      </w:pPr>
      <w:r>
        <w:rPr>
          <w:rFonts w:ascii="Times New Roman" w:eastAsia="SimSun" w:hAnsi="Times New Roman" w:hint="eastAsia"/>
          <w:b/>
          <w:szCs w:val="24"/>
          <w:lang w:eastAsia="zh-CN"/>
        </w:rPr>
        <w:t>A</w:t>
      </w:r>
      <w:r w:rsidRPr="006C7E0B">
        <w:rPr>
          <w:rFonts w:ascii="Times New Roman" w:eastAsia="SimSun" w:hAnsi="Times New Roman"/>
          <w:b/>
          <w:szCs w:val="24"/>
        </w:rPr>
        <w:t>ppendix</w:t>
      </w:r>
      <w:r>
        <w:rPr>
          <w:rFonts w:ascii="Times New Roman" w:eastAsia="SimSun" w:hAnsi="Times New Roman"/>
          <w:b/>
          <w:szCs w:val="24"/>
        </w:rPr>
        <w:t xml:space="preserve"> </w:t>
      </w:r>
      <w:r w:rsidRPr="00AE31D5">
        <w:rPr>
          <w:rFonts w:ascii="Times New Roman" w:hAnsi="Times New Roman"/>
          <w:b/>
          <w:szCs w:val="24"/>
          <w:lang w:eastAsia="zh-HK"/>
        </w:rPr>
        <w:t>(</w:t>
      </w:r>
      <w:r w:rsidRPr="00AE31D5">
        <w:rPr>
          <w:rFonts w:ascii="Times New Roman" w:hAnsi="Times New Roman" w:hint="eastAsia"/>
          <w:b/>
          <w:szCs w:val="24"/>
          <w:lang w:eastAsia="zh-HK"/>
        </w:rPr>
        <w:t>Times New Roman 12 points</w:t>
      </w:r>
      <w:r>
        <w:rPr>
          <w:rFonts w:ascii="Times New Roman" w:hAnsi="Times New Roman"/>
          <w:b/>
          <w:szCs w:val="24"/>
          <w:lang w:eastAsia="zh-HK"/>
        </w:rPr>
        <w:t xml:space="preserve">, </w:t>
      </w:r>
      <w:r w:rsidRPr="00AE31D5">
        <w:rPr>
          <w:rFonts w:ascii="Times New Roman" w:hAnsi="Times New Roman"/>
          <w:b/>
          <w:szCs w:val="24"/>
          <w:lang w:eastAsia="zh-HK"/>
        </w:rPr>
        <w:t>bold,</w:t>
      </w:r>
      <w:r w:rsidRPr="00AE31D5">
        <w:rPr>
          <w:rFonts w:ascii="Times New Roman" w:hAnsi="Times New Roman" w:hint="eastAsia"/>
          <w:b/>
          <w:szCs w:val="24"/>
          <w:lang w:eastAsia="zh-HK"/>
        </w:rPr>
        <w:t xml:space="preserve"> centered)</w:t>
      </w:r>
    </w:p>
    <w:p w14:paraId="6533699E" w14:textId="77777777" w:rsidR="006C7E0B" w:rsidRDefault="006C7E0B" w:rsidP="006C7E0B">
      <w:pPr>
        <w:snapToGrid w:val="0"/>
        <w:spacing w:line="480" w:lineRule="auto"/>
        <w:rPr>
          <w:rFonts w:ascii="Times New Roman" w:hAnsi="Times New Roman"/>
          <w:szCs w:val="24"/>
          <w:lang w:eastAsia="zh-HK"/>
        </w:rPr>
      </w:pPr>
    </w:p>
    <w:p w14:paraId="0067B1DC" w14:textId="77777777" w:rsidR="006C7E0B" w:rsidRDefault="006C7E0B" w:rsidP="006C7E0B">
      <w:pPr>
        <w:snapToGrid w:val="0"/>
        <w:spacing w:line="480" w:lineRule="auto"/>
        <w:rPr>
          <w:rFonts w:ascii="Times New Roman" w:hAnsi="Times New Roman"/>
          <w:szCs w:val="24"/>
          <w:lang w:eastAsia="zh-HK"/>
        </w:rPr>
      </w:pPr>
    </w:p>
    <w:p w14:paraId="251F0822" w14:textId="77777777" w:rsidR="006C7E0B" w:rsidRPr="006C7E0B" w:rsidRDefault="006C7E0B" w:rsidP="006C7E0B">
      <w:pPr>
        <w:snapToGrid w:val="0"/>
        <w:spacing w:line="480" w:lineRule="auto"/>
        <w:rPr>
          <w:rFonts w:ascii="Times New Roman" w:eastAsia="SimSun" w:hAnsi="Times New Roman"/>
          <w:szCs w:val="24"/>
        </w:rPr>
      </w:pPr>
    </w:p>
    <w:sectPr w:rsidR="006C7E0B" w:rsidRPr="006C7E0B" w:rsidSect="000337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6D586" w14:textId="77777777" w:rsidR="00FF3416" w:rsidRDefault="00FF3416" w:rsidP="001C3D3E">
      <w:r>
        <w:separator/>
      </w:r>
    </w:p>
  </w:endnote>
  <w:endnote w:type="continuationSeparator" w:id="0">
    <w:p w14:paraId="4D09F9EB" w14:textId="77777777" w:rsidR="00FF3416" w:rsidRDefault="00FF3416" w:rsidP="001C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riam">
    <w:altName w:val="Arial"/>
    <w:charset w:val="B1"/>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E07A5" w14:textId="77777777" w:rsidR="00FF3416" w:rsidRDefault="00FF3416" w:rsidP="001C3D3E">
      <w:r>
        <w:separator/>
      </w:r>
    </w:p>
  </w:footnote>
  <w:footnote w:type="continuationSeparator" w:id="0">
    <w:p w14:paraId="6C84C61C" w14:textId="77777777" w:rsidR="00FF3416" w:rsidRDefault="00FF3416" w:rsidP="001C3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11E8"/>
    <w:multiLevelType w:val="hybridMultilevel"/>
    <w:tmpl w:val="BAD638B2"/>
    <w:lvl w:ilvl="0" w:tplc="86724B8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A1D63"/>
    <w:multiLevelType w:val="hybridMultilevel"/>
    <w:tmpl w:val="0EBA7B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5066FBC"/>
    <w:multiLevelType w:val="hybridMultilevel"/>
    <w:tmpl w:val="A2D441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45"/>
    <w:rsid w:val="000337D3"/>
    <w:rsid w:val="000A34ED"/>
    <w:rsid w:val="000D1EFF"/>
    <w:rsid w:val="001266D0"/>
    <w:rsid w:val="001C3D3E"/>
    <w:rsid w:val="00434C15"/>
    <w:rsid w:val="00477426"/>
    <w:rsid w:val="004C4C54"/>
    <w:rsid w:val="004D7000"/>
    <w:rsid w:val="0050142C"/>
    <w:rsid w:val="00525DFA"/>
    <w:rsid w:val="006C7E0B"/>
    <w:rsid w:val="00757DF1"/>
    <w:rsid w:val="0088460B"/>
    <w:rsid w:val="008B1B7A"/>
    <w:rsid w:val="008D3AE7"/>
    <w:rsid w:val="00982DC0"/>
    <w:rsid w:val="0098746E"/>
    <w:rsid w:val="00990296"/>
    <w:rsid w:val="009A5445"/>
    <w:rsid w:val="009E3CD7"/>
    <w:rsid w:val="00A14A6E"/>
    <w:rsid w:val="00AA2932"/>
    <w:rsid w:val="00AE31D5"/>
    <w:rsid w:val="00AF311A"/>
    <w:rsid w:val="00D30802"/>
    <w:rsid w:val="00D61B28"/>
    <w:rsid w:val="00D7337A"/>
    <w:rsid w:val="00E07BB2"/>
    <w:rsid w:val="00E53A53"/>
    <w:rsid w:val="00FF3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E15F7"/>
  <w15:docId w15:val="{AE33A9DD-7CC1-41A0-85E0-782CD781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445"/>
    <w:pPr>
      <w:widowControl w:val="0"/>
      <w:spacing w:after="0" w:line="240" w:lineRule="auto"/>
    </w:pPr>
    <w:rPr>
      <w:rFonts w:ascii="Calibri" w:eastAsia="PMingLiU" w:hAnsi="Calibri" w:cs="Times New Roman"/>
      <w:kern w:val="2"/>
      <w:sz w:val="24"/>
      <w:lang w:eastAsia="zh-TW"/>
    </w:rPr>
  </w:style>
  <w:style w:type="paragraph" w:styleId="Heading1">
    <w:name w:val="heading 1"/>
    <w:basedOn w:val="Normal"/>
    <w:next w:val="Normal"/>
    <w:link w:val="Heading1Char"/>
    <w:uiPriority w:val="9"/>
    <w:qFormat/>
    <w:rsid w:val="00987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qFormat/>
    <w:rsid w:val="009A5445"/>
    <w:pPr>
      <w:keepNext/>
      <w:keepLines/>
      <w:spacing w:before="260" w:after="260" w:line="416" w:lineRule="auto"/>
      <w:jc w:val="both"/>
      <w:outlineLvl w:val="1"/>
    </w:pPr>
    <w:rPr>
      <w:rFonts w:ascii="Cambria" w:eastAsia="SimSun" w:hAnsi="Cambria"/>
      <w:b/>
      <w:bCs/>
      <w:sz w:val="28"/>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9A5445"/>
    <w:rPr>
      <w:rFonts w:asciiTheme="majorHAnsi" w:eastAsiaTheme="majorEastAsia" w:hAnsiTheme="majorHAnsi" w:cstheme="majorBidi"/>
      <w:b/>
      <w:bCs/>
      <w:color w:val="4F81BD" w:themeColor="accent1"/>
      <w:kern w:val="2"/>
      <w:sz w:val="26"/>
      <w:szCs w:val="26"/>
      <w:lang w:eastAsia="zh-TW"/>
    </w:rPr>
  </w:style>
  <w:style w:type="character" w:customStyle="1" w:styleId="Heading2Char1">
    <w:name w:val="Heading 2 Char1"/>
    <w:link w:val="Heading2"/>
    <w:uiPriority w:val="9"/>
    <w:locked/>
    <w:rsid w:val="009A5445"/>
    <w:rPr>
      <w:rFonts w:ascii="Cambria" w:eastAsia="SimSun" w:hAnsi="Cambria" w:cs="Times New Roman"/>
      <w:b/>
      <w:bCs/>
      <w:kern w:val="2"/>
      <w:sz w:val="28"/>
      <w:szCs w:val="32"/>
    </w:rPr>
  </w:style>
  <w:style w:type="character" w:customStyle="1" w:styleId="Heading1Char">
    <w:name w:val="Heading 1 Char"/>
    <w:basedOn w:val="DefaultParagraphFont"/>
    <w:link w:val="Heading1"/>
    <w:uiPriority w:val="9"/>
    <w:rsid w:val="0098746E"/>
    <w:rPr>
      <w:rFonts w:asciiTheme="majorHAnsi" w:eastAsiaTheme="majorEastAsia" w:hAnsiTheme="majorHAnsi" w:cstheme="majorBidi"/>
      <w:b/>
      <w:bCs/>
      <w:color w:val="365F91" w:themeColor="accent1" w:themeShade="BF"/>
      <w:kern w:val="2"/>
      <w:sz w:val="28"/>
      <w:szCs w:val="28"/>
      <w:lang w:eastAsia="zh-TW"/>
    </w:rPr>
  </w:style>
  <w:style w:type="paragraph" w:customStyle="1" w:styleId="Reference">
    <w:name w:val="Reference"/>
    <w:basedOn w:val="Normal"/>
    <w:rsid w:val="0098746E"/>
    <w:pPr>
      <w:suppressAutoHyphens/>
      <w:ind w:left="340" w:hanging="340"/>
    </w:pPr>
    <w:rPr>
      <w:rFonts w:ascii="Times New Roman" w:eastAsia="Times New Roman" w:hAnsi="Times New Roman"/>
      <w:kern w:val="0"/>
      <w:sz w:val="20"/>
      <w:szCs w:val="24"/>
      <w:lang w:val="en-GB" w:eastAsia="en-US"/>
    </w:rPr>
  </w:style>
  <w:style w:type="paragraph" w:customStyle="1" w:styleId="Firstparagraph">
    <w:name w:val="First paragraph"/>
    <w:basedOn w:val="Normal"/>
    <w:next w:val="Normal"/>
    <w:rsid w:val="0098746E"/>
    <w:pPr>
      <w:widowControl/>
      <w:jc w:val="both"/>
    </w:pPr>
    <w:rPr>
      <w:rFonts w:ascii="Times New Roman" w:eastAsia="Times New Roman" w:hAnsi="Times New Roman"/>
      <w:kern w:val="0"/>
      <w:sz w:val="22"/>
      <w:szCs w:val="24"/>
      <w:lang w:val="en-GB" w:eastAsia="en-US"/>
    </w:rPr>
  </w:style>
  <w:style w:type="paragraph" w:styleId="ListParagraph">
    <w:name w:val="List Paragraph"/>
    <w:basedOn w:val="Normal"/>
    <w:uiPriority w:val="34"/>
    <w:qFormat/>
    <w:rsid w:val="00525DFA"/>
    <w:pPr>
      <w:ind w:left="720"/>
      <w:contextualSpacing/>
    </w:pPr>
  </w:style>
  <w:style w:type="paragraph" w:styleId="Header">
    <w:name w:val="header"/>
    <w:basedOn w:val="Normal"/>
    <w:link w:val="HeaderChar"/>
    <w:uiPriority w:val="99"/>
    <w:unhideWhenUsed/>
    <w:rsid w:val="001C3D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C3D3E"/>
    <w:rPr>
      <w:rFonts w:ascii="Calibri" w:eastAsia="PMingLiU" w:hAnsi="Calibri" w:cs="Times New Roman"/>
      <w:kern w:val="2"/>
      <w:sz w:val="18"/>
      <w:szCs w:val="18"/>
      <w:lang w:eastAsia="zh-TW"/>
    </w:rPr>
  </w:style>
  <w:style w:type="paragraph" w:styleId="Footer">
    <w:name w:val="footer"/>
    <w:basedOn w:val="Normal"/>
    <w:link w:val="FooterChar"/>
    <w:uiPriority w:val="99"/>
    <w:unhideWhenUsed/>
    <w:rsid w:val="001C3D3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C3D3E"/>
    <w:rPr>
      <w:rFonts w:ascii="Calibri" w:eastAsia="PMingLiU" w:hAnsi="Calibri" w:cs="Times New Roman"/>
      <w:kern w:val="2"/>
      <w:sz w:val="18"/>
      <w:szCs w:val="18"/>
      <w:lang w:eastAsia="zh-TW"/>
    </w:rPr>
  </w:style>
  <w:style w:type="paragraph" w:styleId="BodyTextIndent">
    <w:name w:val="Body Text Indent"/>
    <w:basedOn w:val="Normal"/>
    <w:link w:val="BodyTextIndentChar"/>
    <w:rsid w:val="00982DC0"/>
    <w:pPr>
      <w:widowControl/>
      <w:ind w:firstLine="360"/>
      <w:jc w:val="both"/>
    </w:pPr>
    <w:rPr>
      <w:rFonts w:ascii="Times New Roman" w:eastAsiaTheme="minorEastAsia" w:hAnsi="Times New Roman"/>
      <w:kern w:val="0"/>
      <w:sz w:val="18"/>
      <w:szCs w:val="20"/>
      <w:lang w:eastAsia="en-US"/>
    </w:rPr>
  </w:style>
  <w:style w:type="character" w:customStyle="1" w:styleId="BodyTextIndentChar">
    <w:name w:val="Body Text Indent Char"/>
    <w:basedOn w:val="DefaultParagraphFont"/>
    <w:link w:val="BodyTextIndent"/>
    <w:rsid w:val="00982DC0"/>
    <w:rPr>
      <w:rFonts w:ascii="Times New Roman" w:hAnsi="Times New Roman" w:cs="Times New Roman"/>
      <w:sz w:val="18"/>
      <w:szCs w:val="20"/>
      <w:lang w:eastAsia="en-US"/>
    </w:rPr>
  </w:style>
  <w:style w:type="paragraph" w:styleId="Caption">
    <w:name w:val="caption"/>
    <w:basedOn w:val="Normal"/>
    <w:next w:val="Normal"/>
    <w:qFormat/>
    <w:rsid w:val="00982DC0"/>
    <w:pPr>
      <w:widowControl/>
      <w:spacing w:after="80"/>
      <w:jc w:val="center"/>
    </w:pPr>
    <w:rPr>
      <w:rFonts w:ascii="Times New Roman" w:eastAsiaTheme="minorEastAsia" w:hAnsi="Times New Roman" w:cs="Miriam"/>
      <w:b/>
      <w:bCs/>
      <w:kern w:val="0"/>
      <w:sz w:val="18"/>
      <w:szCs w:val="18"/>
      <w:lang w:eastAsia="en-AU"/>
    </w:rPr>
  </w:style>
  <w:style w:type="character" w:styleId="Hyperlink">
    <w:name w:val="Hyperlink"/>
    <w:basedOn w:val="DefaultParagraphFont"/>
    <w:uiPriority w:val="99"/>
    <w:unhideWhenUsed/>
    <w:rsid w:val="0088460B"/>
    <w:rPr>
      <w:color w:val="0000FF" w:themeColor="hyperlink"/>
      <w:u w:val="single"/>
    </w:rPr>
  </w:style>
  <w:style w:type="character" w:styleId="Mention">
    <w:name w:val="Mention"/>
    <w:basedOn w:val="DefaultParagraphFont"/>
    <w:uiPriority w:val="99"/>
    <w:semiHidden/>
    <w:unhideWhenUsed/>
    <w:rsid w:val="0088460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4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ilibrary.com?ID=93941" TargetMode="External"/><Relationship Id="rId5" Type="http://schemas.openxmlformats.org/officeDocument/2006/relationships/webSettings" Target="webSettings.xml"/><Relationship Id="rId10" Type="http://schemas.openxmlformats.org/officeDocument/2006/relationships/hyperlink" Target="http://www.badscience.net/2008/05/dore-the-medias-miracle-cure-fordyslexia/" TargetMode="External"/><Relationship Id="rId4" Type="http://schemas.openxmlformats.org/officeDocument/2006/relationships/settings" Target="settings.xml"/><Relationship Id="rId9" Type="http://schemas.openxmlformats.org/officeDocument/2006/relationships/hyperlink" Target="http://www.gov.uk/government/publications/living-well-with-dementia-a-national-dementia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C9143-E032-4DD2-B7C4-8AC14755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2018-10-19T03:53:00Z</dcterms:created>
  <dcterms:modified xsi:type="dcterms:W3CDTF">2018-10-19T03:53:00Z</dcterms:modified>
</cp:coreProperties>
</file>